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uto"/>
        <w:rPr>
          <w:rFonts w:eastAsia="Times New Roman"/>
          <w:sz w:val="44"/>
        </w:rPr>
      </w:pPr>
    </w:p>
    <w:p>
      <w:pPr>
        <w:spacing w:line="520" w:lineRule="auto"/>
        <w:jc w:val="center"/>
        <w:rPr>
          <w:rFonts w:eastAsia="Times New Roman"/>
          <w:sz w:val="44"/>
        </w:rPr>
      </w:pPr>
    </w:p>
    <w:p>
      <w:pPr>
        <w:spacing w:line="520" w:lineRule="exact"/>
        <w:jc w:val="center"/>
        <w:rPr>
          <w:rFonts w:eastAsia="方正小标宋简体" w:cs="方正小标宋简体"/>
          <w:color w:val="000000"/>
          <w:kern w:val="2"/>
          <w:sz w:val="44"/>
          <w:szCs w:val="44"/>
        </w:rPr>
      </w:pPr>
      <w:r>
        <w:rPr>
          <w:rFonts w:hint="eastAsia" w:eastAsia="方正小标宋简体" w:cs="方正小标宋简体"/>
          <w:color w:val="000000"/>
          <w:kern w:val="2"/>
          <w:sz w:val="44"/>
          <w:szCs w:val="44"/>
        </w:rPr>
        <w:t>广州市城乡居民社会医疗保险</w:t>
      </w:r>
    </w:p>
    <w:p>
      <w:pPr>
        <w:spacing w:line="520" w:lineRule="exact"/>
        <w:jc w:val="center"/>
        <w:rPr>
          <w:rFonts w:eastAsia="方正小标宋简体" w:cs="方正小标宋简体"/>
          <w:color w:val="000000"/>
          <w:kern w:val="2"/>
          <w:sz w:val="44"/>
          <w:szCs w:val="44"/>
        </w:rPr>
      </w:pPr>
    </w:p>
    <w:p>
      <w:pPr>
        <w:spacing w:line="520" w:lineRule="exact"/>
        <w:jc w:val="center"/>
        <w:rPr>
          <w:rFonts w:eastAsia="方正小标宋简体"/>
          <w:color w:val="000000"/>
          <w:sz w:val="44"/>
          <w:szCs w:val="44"/>
        </w:rPr>
      </w:pPr>
      <w:r>
        <w:rPr>
          <w:rFonts w:hint="eastAsia" w:eastAsia="方正小标宋简体" w:cs="方正小标宋简体"/>
          <w:color w:val="000000"/>
          <w:sz w:val="44"/>
          <w:szCs w:val="44"/>
        </w:rPr>
        <w:t>就</w:t>
      </w:r>
    </w:p>
    <w:p>
      <w:pPr>
        <w:spacing w:line="520" w:lineRule="exact"/>
        <w:jc w:val="center"/>
        <w:rPr>
          <w:rFonts w:eastAsia="方正小标宋简体"/>
          <w:color w:val="000000"/>
          <w:sz w:val="44"/>
          <w:szCs w:val="44"/>
        </w:rPr>
      </w:pPr>
    </w:p>
    <w:p>
      <w:pPr>
        <w:spacing w:line="520" w:lineRule="exact"/>
        <w:jc w:val="center"/>
        <w:rPr>
          <w:rFonts w:eastAsia="方正小标宋简体"/>
          <w:color w:val="000000"/>
          <w:sz w:val="44"/>
          <w:szCs w:val="44"/>
        </w:rPr>
      </w:pPr>
      <w:r>
        <w:rPr>
          <w:rFonts w:hint="eastAsia" w:eastAsia="方正小标宋简体" w:cs="方正小标宋简体"/>
          <w:color w:val="000000"/>
          <w:sz w:val="44"/>
          <w:szCs w:val="44"/>
        </w:rPr>
        <w:t>医</w:t>
      </w:r>
    </w:p>
    <w:p>
      <w:pPr>
        <w:spacing w:line="520" w:lineRule="exact"/>
        <w:jc w:val="center"/>
        <w:rPr>
          <w:rFonts w:eastAsia="方正小标宋简体"/>
          <w:color w:val="000000"/>
          <w:sz w:val="44"/>
          <w:szCs w:val="44"/>
        </w:rPr>
      </w:pPr>
    </w:p>
    <w:p>
      <w:pPr>
        <w:spacing w:line="520" w:lineRule="exact"/>
        <w:jc w:val="center"/>
        <w:rPr>
          <w:rFonts w:eastAsia="方正小标宋简体"/>
          <w:color w:val="000000"/>
          <w:sz w:val="44"/>
          <w:szCs w:val="44"/>
        </w:rPr>
      </w:pPr>
      <w:r>
        <w:rPr>
          <w:rFonts w:hint="eastAsia" w:eastAsia="方正小标宋简体" w:cs="方正小标宋简体"/>
          <w:color w:val="000000"/>
          <w:sz w:val="44"/>
          <w:szCs w:val="44"/>
        </w:rPr>
        <w:t>指</w:t>
      </w:r>
    </w:p>
    <w:p>
      <w:pPr>
        <w:spacing w:line="520" w:lineRule="exact"/>
        <w:jc w:val="center"/>
        <w:rPr>
          <w:rFonts w:eastAsia="方正小标宋简体"/>
          <w:color w:val="000000"/>
          <w:sz w:val="44"/>
          <w:szCs w:val="44"/>
        </w:rPr>
      </w:pPr>
    </w:p>
    <w:p>
      <w:pPr>
        <w:spacing w:line="520" w:lineRule="auto"/>
        <w:jc w:val="center"/>
        <w:rPr>
          <w:rFonts w:eastAsia="方正小标宋简体" w:cs="方正小标宋简体"/>
          <w:color w:val="000000"/>
          <w:sz w:val="44"/>
          <w:szCs w:val="44"/>
        </w:rPr>
      </w:pPr>
      <w:r>
        <w:rPr>
          <w:rFonts w:hint="eastAsia" w:eastAsia="方正小标宋简体" w:cs="方正小标宋简体"/>
          <w:color w:val="000000"/>
          <w:sz w:val="44"/>
          <w:szCs w:val="44"/>
        </w:rPr>
        <w:t>南</w:t>
      </w:r>
    </w:p>
    <w:p>
      <w:pPr>
        <w:spacing w:line="520" w:lineRule="auto"/>
        <w:jc w:val="center"/>
        <w:rPr>
          <w:rFonts w:eastAsia="方正小标宋简体" w:cs="方正小标宋简体"/>
          <w:color w:val="000000"/>
          <w:sz w:val="44"/>
          <w:szCs w:val="44"/>
        </w:rPr>
      </w:pPr>
    </w:p>
    <w:p>
      <w:pPr>
        <w:spacing w:line="520" w:lineRule="exact"/>
        <w:jc w:val="center"/>
        <w:rPr>
          <w:rFonts w:eastAsia="方正小标宋简体" w:cs="方正小标宋简体"/>
          <w:color w:val="000000"/>
          <w:kern w:val="2"/>
          <w:sz w:val="44"/>
          <w:szCs w:val="44"/>
        </w:rPr>
      </w:pPr>
      <w:r>
        <w:rPr>
          <w:rFonts w:hint="eastAsia" w:eastAsia="方正小标宋简体" w:cs="方正小标宋简体"/>
          <w:color w:val="000000"/>
          <w:kern w:val="2"/>
          <w:sz w:val="44"/>
          <w:szCs w:val="44"/>
        </w:rPr>
        <w:t>（2018年度 第一版）</w:t>
      </w:r>
    </w:p>
    <w:p>
      <w:pPr>
        <w:spacing w:line="520" w:lineRule="exact"/>
        <w:jc w:val="center"/>
        <w:rPr>
          <w:rFonts w:eastAsia="方正小标宋简体" w:cs="方正小标宋简体"/>
          <w:color w:val="000000"/>
          <w:kern w:val="2"/>
          <w:sz w:val="44"/>
          <w:szCs w:val="44"/>
        </w:rPr>
      </w:pPr>
    </w:p>
    <w:p>
      <w:pPr>
        <w:spacing w:line="520" w:lineRule="exact"/>
        <w:jc w:val="center"/>
        <w:rPr>
          <w:rFonts w:eastAsia="方正小标宋简体" w:cs="方正小标宋简体"/>
          <w:color w:val="000000"/>
          <w:kern w:val="2"/>
          <w:sz w:val="44"/>
          <w:szCs w:val="44"/>
        </w:rPr>
      </w:pPr>
      <w:r>
        <w:rPr>
          <w:rFonts w:hint="eastAsia" w:eastAsia="方正小标宋简体" w:cs="方正小标宋简体"/>
          <w:color w:val="000000"/>
          <w:kern w:val="2"/>
          <w:sz w:val="44"/>
          <w:szCs w:val="44"/>
        </w:rPr>
        <w:t>（城乡居民篇）</w:t>
      </w:r>
    </w:p>
    <w:p>
      <w:pPr>
        <w:spacing w:line="520" w:lineRule="auto"/>
        <w:jc w:val="center"/>
        <w:rPr>
          <w:rFonts w:ascii="宋体" w:hAnsi="宋体" w:cs="宋体"/>
          <w:sz w:val="32"/>
        </w:rPr>
      </w:pPr>
    </w:p>
    <w:p>
      <w:pPr>
        <w:spacing w:line="520" w:lineRule="auto"/>
        <w:rPr>
          <w:rFonts w:ascii="宋体" w:hAnsi="宋体" w:cs="宋体"/>
          <w:sz w:val="32"/>
        </w:rPr>
      </w:pPr>
    </w:p>
    <w:p>
      <w:pPr>
        <w:spacing w:line="520" w:lineRule="auto"/>
        <w:jc w:val="center"/>
        <w:rPr>
          <w:rFonts w:ascii="仿宋_GB2312" w:hAnsi="仿宋_GB2312" w:eastAsia="仿宋_GB2312" w:cs="仿宋_GB2312"/>
          <w:sz w:val="32"/>
        </w:rPr>
      </w:pPr>
      <w:r>
        <w:rPr>
          <w:rFonts w:hint="eastAsia" w:ascii="仿宋_GB2312" w:hAnsi="仿宋_GB2312" w:eastAsia="仿宋_GB2312" w:cs="仿宋_GB2312"/>
          <w:sz w:val="32"/>
        </w:rPr>
        <w:t>广州市医疗保险服务管理局</w:t>
      </w:r>
    </w:p>
    <w:p>
      <w:pPr>
        <w:spacing w:line="520" w:lineRule="auto"/>
        <w:jc w:val="center"/>
        <w:rPr>
          <w:rFonts w:ascii="仿宋_GB2312" w:hAnsi="仿宋_GB2312" w:eastAsia="仿宋_GB2312" w:cs="仿宋_GB2312"/>
          <w:sz w:val="32"/>
        </w:rPr>
      </w:pPr>
      <w:r>
        <w:rPr>
          <w:rFonts w:hint="eastAsia" w:ascii="仿宋_GB2312" w:hAnsi="仿宋_GB2312" w:eastAsia="仿宋_GB2312" w:cs="仿宋_GB2312"/>
          <w:sz w:val="32"/>
        </w:rPr>
        <w:t>2018年8月  编印</w:t>
      </w:r>
    </w:p>
    <w:p>
      <w:pPr>
        <w:spacing w:line="560" w:lineRule="auto"/>
        <w:rPr>
          <w:rFonts w:ascii="宋体" w:hAnsi="宋体" w:cs="宋体"/>
          <w:sz w:val="32"/>
        </w:rPr>
      </w:pPr>
    </w:p>
    <w:p>
      <w:pPr>
        <w:spacing w:line="560" w:lineRule="auto"/>
        <w:rPr>
          <w:rFonts w:ascii="宋体" w:hAnsi="宋体" w:cs="宋体"/>
          <w:sz w:val="32"/>
        </w:rPr>
      </w:pPr>
    </w:p>
    <w:p>
      <w:pPr>
        <w:spacing w:line="560" w:lineRule="auto"/>
        <w:rPr>
          <w:rFonts w:ascii="宋体" w:hAnsi="宋体" w:cs="宋体"/>
          <w:sz w:val="32"/>
        </w:rPr>
      </w:pPr>
    </w:p>
    <w:p>
      <w:pPr>
        <w:spacing w:line="520" w:lineRule="exact"/>
        <w:rPr>
          <w:rFonts w:eastAsia="黑体"/>
          <w:color w:val="000000"/>
          <w:sz w:val="32"/>
          <w:szCs w:val="32"/>
        </w:rPr>
      </w:pPr>
      <w:r>
        <w:rPr>
          <w:rFonts w:hint="eastAsia" w:eastAsia="黑体" w:cs="黑体"/>
          <w:color w:val="000000"/>
          <w:sz w:val="32"/>
          <w:szCs w:val="32"/>
        </w:rPr>
        <w:t>前言</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本指南适用于参加我市城乡居民医保的在校中小学生、未成年人、灵活就业人员、非从业人员以及老年居民。</w:t>
      </w:r>
    </w:p>
    <w:p>
      <w:pPr>
        <w:spacing w:line="520" w:lineRule="exact"/>
        <w:ind w:firstLine="640"/>
        <w:rPr>
          <w:rFonts w:ascii="仿宋_GB2312" w:hAnsi="仿宋_GB2312" w:eastAsia="仿宋_GB2312" w:cs="仿宋_GB2312"/>
          <w:sz w:val="32"/>
        </w:rPr>
      </w:pPr>
    </w:p>
    <w:p>
      <w:pPr>
        <w:spacing w:line="520" w:lineRule="exact"/>
        <w:ind w:firstLine="640"/>
        <w:rPr>
          <w:rFonts w:ascii="黑体" w:hAnsi="黑体" w:eastAsia="黑体" w:cs="黑体"/>
          <w:sz w:val="32"/>
        </w:rPr>
      </w:pPr>
      <w:r>
        <w:rPr>
          <w:rFonts w:hint="eastAsia" w:ascii="黑体" w:hAnsi="黑体" w:eastAsia="黑体" w:cs="黑体"/>
          <w:sz w:val="32"/>
        </w:rPr>
        <w:t>一、社会医疗保险凭证</w:t>
      </w:r>
    </w:p>
    <w:p>
      <w:pPr>
        <w:spacing w:line="520" w:lineRule="exact"/>
        <w:ind w:firstLine="640"/>
        <w:rPr>
          <w:rFonts w:ascii="仿宋_GB2312" w:hAnsi="仿宋_GB2312" w:eastAsia="仿宋_GB2312" w:cs="仿宋_GB2312"/>
          <w:sz w:val="32"/>
          <w:u w:val="single"/>
        </w:rPr>
      </w:pPr>
      <w:r>
        <w:rPr>
          <w:rFonts w:hint="eastAsia" w:ascii="仿宋_GB2312" w:hAnsi="仿宋_GB2312" w:eastAsia="仿宋_GB2312" w:cs="仿宋_GB2312"/>
          <w:sz w:val="32"/>
        </w:rPr>
        <w:t>具有医保功能的广州市社会保障卡（简称社保卡）、广州市社会医疗保险磁条卡（简称医保卡）均可作为参保人就医、办理医保有关业务的凭证，统称社会医疗保险凭证（简称“医保凭证”）。</w:t>
      </w:r>
    </w:p>
    <w:p>
      <w:pPr>
        <w:spacing w:line="52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（一）领卡后的注意事项</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核对社保卡或医保卡及存折上的姓名、有效身份证件号码、性别等信息。如信息有误，请尽快按规定到相应的医保、社保经办机构办理资料核查或变更事宜。资料变更后，参保人根据所持卡类型不同，到以下对应机构办理相关业务：</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b/>
          <w:sz w:val="32"/>
        </w:rPr>
        <w:t>社保卡</w:t>
      </w:r>
      <w:r>
        <w:rPr>
          <w:rFonts w:hint="eastAsia" w:ascii="仿宋_GB2312" w:hAnsi="仿宋_GB2312" w:eastAsia="仿宋_GB2312" w:cs="仿宋_GB2312"/>
          <w:sz w:val="32"/>
        </w:rPr>
        <w:t>：持该卡类型的参保人，可凭原社保卡、本人有效身份证件、社保经办机构出具的《个人资料变更确认表》到卡面所示服务银行社保卡业务受理网点办理重制卡业务。</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b/>
          <w:sz w:val="32"/>
        </w:rPr>
        <w:t>医保卡</w:t>
      </w:r>
      <w:r>
        <w:rPr>
          <w:rFonts w:hint="eastAsia" w:ascii="仿宋_GB2312" w:hAnsi="仿宋_GB2312" w:eastAsia="仿宋_GB2312" w:cs="仿宋_GB2312"/>
          <w:sz w:val="32"/>
        </w:rPr>
        <w:t>：持该卡类型的参保人，可凭原医保卡、本人有效身份证件、医保经办机构出具的《个人资料变更确认表》到医保卡服务银行任一营业网点，根据银行相关要求办理重制卡。</w:t>
      </w:r>
    </w:p>
    <w:p>
      <w:pPr>
        <w:spacing w:line="52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（二）社保卡或医保卡的使用</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 xml:space="preserve">1.参保人在定点医疗机构办理就医登记时必须出示社保卡或医保卡，在其出示有效医保凭证前，就医所发生的费用全部由参保人自行承担。    </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急诊入院或者由于意识不清等情况不能当场出示的，应当在入院3日内补办示证手续，家属或其他陪同人员应当配合办理相关手续。</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2.社保卡或医保卡挂失</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社保卡挂失、补卡等相关业务，可到对应的社保卡制卡银行广州市内指定社保卡业务受理网点办理（详情可查询社保卡服务网站http://card.gz.gov.cn，或参阅《广州市社会保障卡使用手册》）。</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医保卡挂失、密码挂失、损坏卡重制等相关业务，可到对应的医保卡服务银行广州市内任一营业网点办理。</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社保卡或医保卡遗失或重制期间，可凭服务银行出具的挂失证明或补换卡凭据及有效身份证件在本市社会保险定点医疗机构就医及办理医疗费用结算。</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3.参加城乡居民医保的参保人，没有个人账户资金划入社保卡或医保卡。</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4. 参保人不得将本人的医保凭证借给他人，或冒用他人的医保凭证办理医保就医记账、费用报销。</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5.（1）社保（医保）卡银行服务电话：光大银行：95595；农业银行：87611191；广州银行：96699；广发银行：82632000；中国银行：95566；交通银行：95559；工商银行：95588；建设银行：95533；招商银行：38999789 ；广州农商银行：95313。</w:t>
      </w:r>
    </w:p>
    <w:p>
      <w:pPr>
        <w:spacing w:line="520" w:lineRule="exact"/>
        <w:ind w:firstLine="640"/>
        <w:rPr>
          <w:rFonts w:eastAsia="Times New Roman"/>
          <w:sz w:val="32"/>
        </w:rPr>
      </w:pPr>
      <w:r>
        <w:rPr>
          <w:rFonts w:hint="eastAsia" w:ascii="仿宋_GB2312" w:hAnsi="仿宋_GB2312" w:eastAsia="仿宋_GB2312" w:cs="仿宋_GB2312"/>
          <w:sz w:val="32"/>
        </w:rPr>
        <w:t>（2）广州市社会保障卡微信公众号、支付宝生活号“广州社保卡_市民卡”，24小时热线：12343、12345。</w:t>
      </w:r>
    </w:p>
    <w:p>
      <w:pPr>
        <w:spacing w:line="520" w:lineRule="exact"/>
        <w:ind w:left="640"/>
        <w:rPr>
          <w:rFonts w:eastAsia="黑体" w:cs="黑体"/>
          <w:sz w:val="32"/>
          <w:szCs w:val="32"/>
        </w:rPr>
      </w:pPr>
      <w:r>
        <w:rPr>
          <w:rFonts w:hint="eastAsia" w:eastAsia="黑体" w:cs="黑体"/>
          <w:sz w:val="32"/>
          <w:szCs w:val="32"/>
        </w:rPr>
        <w:t>二、就医流程</w:t>
      </w:r>
    </w:p>
    <w:p>
      <w:pPr>
        <w:spacing w:line="600" w:lineRule="exact"/>
        <w:rPr>
          <w:rFonts w:eastAsia="仿宋_GB2312"/>
          <w:b/>
          <w:bCs/>
          <w:sz w:val="32"/>
          <w:szCs w:val="32"/>
        </w:rPr>
      </w:pPr>
      <w:r>
        <mc:AlternateContent>
          <mc:Choice Requires="wps">
            <w:drawing>
              <wp:anchor distT="0" distB="0" distL="114300" distR="114300" simplePos="0" relativeHeight="251662336" behindDoc="0" locked="0" layoutInCell="1" allowOverlap="1">
                <wp:simplePos x="0" y="0"/>
                <wp:positionH relativeFrom="column">
                  <wp:posOffset>1196340</wp:posOffset>
                </wp:positionH>
                <wp:positionV relativeFrom="paragraph">
                  <wp:posOffset>41275</wp:posOffset>
                </wp:positionV>
                <wp:extent cx="2628900" cy="443865"/>
                <wp:effectExtent l="4445" t="5080" r="14605" b="8255"/>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2628900" cy="443865"/>
                        </a:xfrm>
                        <a:prstGeom prst="rect">
                          <a:avLst/>
                        </a:prstGeom>
                        <a:solidFill>
                          <a:srgbClr val="FFFFFF"/>
                        </a:solidFill>
                        <a:ln w="9525" cmpd="sng">
                          <a:solidFill>
                            <a:srgbClr val="000000"/>
                          </a:solidFill>
                          <a:miter lim="800000"/>
                        </a:ln>
                        <a:effectLst/>
                      </wps:spPr>
                      <wps:txbx>
                        <w:txbxContent>
                          <w:p>
                            <w:pPr>
                              <w:jc w:val="center"/>
                              <w:rPr>
                                <w:rFonts w:ascii="宋体"/>
                                <w:lang w:val="zh-Hans" w:eastAsia="zh-Hans"/>
                              </w:rPr>
                            </w:pPr>
                            <w:r>
                              <w:rPr>
                                <w:rFonts w:hint="eastAsia" w:ascii="宋体" w:hAnsi="宋体"/>
                                <w:lang w:val="zh-Hans" w:eastAsia="zh-Hans"/>
                              </w:rPr>
                              <w:t>参保</w:t>
                            </w:r>
                            <w:r>
                              <w:rPr>
                                <w:rFonts w:hint="eastAsia" w:ascii="宋体" w:hAnsi="宋体"/>
                                <w:lang w:val="zh-Hans"/>
                              </w:rPr>
                              <w:t>人员</w:t>
                            </w:r>
                            <w:r>
                              <w:rPr>
                                <w:rFonts w:hint="eastAsia" w:ascii="宋体" w:hAnsi="宋体"/>
                                <w:lang w:val="zh-Hans" w:eastAsia="zh-Hans"/>
                              </w:rPr>
                              <w:t>到定点</w:t>
                            </w:r>
                            <w:r>
                              <w:rPr>
                                <w:rFonts w:hint="eastAsia" w:ascii="宋体" w:hAnsi="宋体"/>
                                <w:lang w:val="zh-Hans"/>
                              </w:rPr>
                              <w:t>（选定）</w:t>
                            </w:r>
                            <w:r>
                              <w:rPr>
                                <w:rFonts w:hint="eastAsia" w:ascii="宋体" w:hAnsi="宋体"/>
                                <w:lang w:val="zh-Hans" w:eastAsia="zh-Hans"/>
                              </w:rPr>
                              <w:t>医疗机构就</w:t>
                            </w:r>
                            <w:r>
                              <w:rPr>
                                <w:rFonts w:hint="eastAsia" w:ascii="宋体" w:hAnsi="宋体"/>
                                <w:lang w:val="zh-Hans"/>
                              </w:rPr>
                              <w:t>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2pt;margin-top:3.25pt;height:34.95pt;width:207pt;z-index:251662336;mso-width-relative:page;mso-height-relative:page;" fillcolor="#FFFFFF" filled="t" stroked="t" coordsize="21600,21600" o:gfxdata="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L8Y7zWAAAACAEAAA8AAAAAAAAAAQAgAAAAIgAAAGRycy9kb3ducmV2Lnht&#10;bFBLAQIUABQAAAAIAIdO4kCLfkm+NAIAAFQEAAAOAAAAAAAAAAEAIAAAACUBAABkcnMvZTJvRG9j&#10;LnhtbFBLBQYAAAAABgAGAFkBAADLBQAAAAA=&#10;">
                <v:fill on="t" focussize="0,0"/>
                <v:stroke color="#000000" miterlimit="8" joinstyle="miter"/>
                <v:imagedata o:title=""/>
                <o:lock v:ext="edit" aspectratio="f"/>
                <v:textbox>
                  <w:txbxContent>
                    <w:p>
                      <w:pPr>
                        <w:jc w:val="center"/>
                        <w:rPr>
                          <w:rFonts w:ascii="宋体"/>
                          <w:lang w:val="zh-Hans" w:eastAsia="zh-Hans"/>
                        </w:rPr>
                      </w:pPr>
                      <w:r>
                        <w:rPr>
                          <w:rFonts w:hint="eastAsia" w:ascii="宋体" w:hAnsi="宋体"/>
                          <w:lang w:val="zh-Hans" w:eastAsia="zh-Hans"/>
                        </w:rPr>
                        <w:t>参保</w:t>
                      </w:r>
                      <w:r>
                        <w:rPr>
                          <w:rFonts w:hint="eastAsia" w:ascii="宋体" w:hAnsi="宋体"/>
                          <w:lang w:val="zh-Hans"/>
                        </w:rPr>
                        <w:t>人员</w:t>
                      </w:r>
                      <w:r>
                        <w:rPr>
                          <w:rFonts w:hint="eastAsia" w:ascii="宋体" w:hAnsi="宋体"/>
                          <w:lang w:val="zh-Hans" w:eastAsia="zh-Hans"/>
                        </w:rPr>
                        <w:t>到定点</w:t>
                      </w:r>
                      <w:r>
                        <w:rPr>
                          <w:rFonts w:hint="eastAsia" w:ascii="宋体" w:hAnsi="宋体"/>
                          <w:lang w:val="zh-Hans"/>
                        </w:rPr>
                        <w:t>（选定）</w:t>
                      </w:r>
                      <w:r>
                        <w:rPr>
                          <w:rFonts w:hint="eastAsia" w:ascii="宋体" w:hAnsi="宋体"/>
                          <w:lang w:val="zh-Hans" w:eastAsia="zh-Hans"/>
                        </w:rPr>
                        <w:t>医疗机构就</w:t>
                      </w:r>
                      <w:r>
                        <w:rPr>
                          <w:rFonts w:hint="eastAsia" w:ascii="宋体" w:hAnsi="宋体"/>
                          <w:lang w:val="zh-Hans"/>
                        </w:rPr>
                        <w:t>医</w:t>
                      </w:r>
                    </w:p>
                  </w:txbxContent>
                </v:textbox>
              </v:shape>
            </w:pict>
          </mc:Fallback>
        </mc:AlternateContent>
      </w:r>
    </w:p>
    <w:p>
      <w:pPr>
        <w:spacing w:line="600" w:lineRule="exact"/>
        <w:rPr>
          <w:rFonts w:eastAsia="仿宋_GB2312"/>
          <w:b/>
          <w:bCs/>
          <w:sz w:val="32"/>
          <w:szCs w:val="32"/>
        </w:rPr>
      </w:pPr>
      <w:r>
        <mc:AlternateContent>
          <mc:Choice Requires="wps">
            <w:drawing>
              <wp:anchor distT="0" distB="0" distL="114300" distR="114300" simplePos="0" relativeHeight="251670528" behindDoc="0" locked="0" layoutInCell="1" allowOverlap="1">
                <wp:simplePos x="0" y="0"/>
                <wp:positionH relativeFrom="column">
                  <wp:posOffset>2496820</wp:posOffset>
                </wp:positionH>
                <wp:positionV relativeFrom="paragraph">
                  <wp:posOffset>131445</wp:posOffset>
                </wp:positionV>
                <wp:extent cx="635" cy="544195"/>
                <wp:effectExtent l="37465" t="0" r="38100" b="8255"/>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635" cy="544195"/>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196.6pt;margin-top:10.35pt;height:42.85pt;width:0.05pt;z-index:251670528;mso-width-relative:page;mso-height-relative:page;" filled="f" stroked="t" coordsize="21600,21600" o:gfxdata="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0xK8DaAAAACgEAAA8AAAAAAAAAAQAgAAAAIgAAAGRycy9kb3ducmV2LnhtbFBLAQIU&#10;ABQAAAAIAIdO4kBMpEF68QEAAKYDAAAOAAAAAAAAAAEAIAAAACkBAABkcnMvZTJvRG9jLnhtbFBL&#10;BQYAAAAABgAGAFkBAACM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635" cy="29718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a:noFill/>
                        </a:ln>
                        <a:effectLst/>
                      </wps:spPr>
                      <wps:bodyPr/>
                    </wps:wsp>
                  </a:graphicData>
                </a:graphic>
              </wp:anchor>
            </w:drawing>
          </mc:Choice>
          <mc:Fallback>
            <w:pict>
              <v:line id="_x0000_s1026" o:spid="_x0000_s1026" o:spt="20" style="position:absolute;left:0pt;margin-left:-9pt;margin-top:7.8pt;height:23.4pt;width:0.05pt;z-index:251660288;mso-width-relative:page;mso-height-relative:page;" filled="f" stroked="f" coordsize="21600,21600" o:gfxdata="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yv0O&#10;2QAAAAkBAAAPAAAAAAAAAAEAIAAAACIAAABkcnMvZG93bnJldi54bWxQSwECFAAUAAAACACHTuJA&#10;ttkN+q4BAAAxAwAADgAAAAAAAAABACAAAAAoAQAAZHJzL2Uyb0RvYy54bWxQSwUGAAAAAAYABgBZ&#10;AQAASAU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4366260</wp:posOffset>
                </wp:positionH>
                <wp:positionV relativeFrom="paragraph">
                  <wp:posOffset>1844040</wp:posOffset>
                </wp:positionV>
                <wp:extent cx="635" cy="29718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a:noFill/>
                        </a:ln>
                        <a:effectLst/>
                      </wps:spPr>
                      <wps:bodyPr/>
                    </wps:wsp>
                  </a:graphicData>
                </a:graphic>
              </wp:anchor>
            </w:drawing>
          </mc:Choice>
          <mc:Fallback>
            <w:pict>
              <v:line id="_x0000_s1026" o:spid="_x0000_s1026" o:spt="20" style="position:absolute;left:0pt;margin-left:343.8pt;margin-top:145.2pt;height:23.4pt;width:0.05pt;z-index:251661312;mso-width-relative:page;mso-height-relative:page;" filled="f" stroked="f" coordsize="21600,21600" o:gfxdata="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QN&#10;N2LaAAAACwEAAA8AAAAAAAAAAQAgAAAAIgAAAGRycy9kb3ducmV2LnhtbFBLAQIUABQAAAAIAIdO&#10;4kBqIM6ArwEAADEDAAAOAAAAAAAAAAEAIAAAACkBAABkcnMvZTJvRG9jLnhtbFBLBQYAAAAABgAG&#10;AFkBAABKBQAAAAA=&#10;">
                <v:fill on="f" focussize="0,0"/>
                <v:stroke on="f"/>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1004570</wp:posOffset>
                </wp:positionH>
                <wp:positionV relativeFrom="paragraph">
                  <wp:posOffset>927735</wp:posOffset>
                </wp:positionV>
                <wp:extent cx="554355"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79.1pt;margin-top:73.05pt;height:0pt;width:43.65pt;z-index:251671552;mso-width-relative:page;mso-height-relative:page;" filled="f" stroked="t" coordsize="21600,21600" o:gfxdata="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0ZcNnXAAAACwEAAA8AAAAAAAAAAQAgAAAA&#10;IgAAAGRycy9kb3ducmV2LnhtbFBLAQIUABQAAAAIAIdO4kAmI9IZ0wEAAHYDAAAOAAAAAAAAAAEA&#10;IAAAACYBAABkcnMvZTJvRG9jLnhtbFBLBQYAAAAABgAGAFkBAABr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1004570</wp:posOffset>
                </wp:positionH>
                <wp:positionV relativeFrom="paragraph">
                  <wp:posOffset>927735</wp:posOffset>
                </wp:positionV>
                <wp:extent cx="635" cy="495300"/>
                <wp:effectExtent l="37465" t="0" r="3810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635" cy="495300"/>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79.1pt;margin-top:73.05pt;height:39pt;width:0.05pt;z-index:251672576;mso-width-relative:page;mso-height-relative:page;" filled="f" stroked="t" coordsize="21600,21600" o:gfxdata="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iMP9dsAAAALAQAADwAAAAAAAAABACAAAAAiAAAAZHJzL2Rvd25yZXYueG1sUEsB&#10;AhQAFAAAAAgAh07iQAGs32zyAQAApgMAAA4AAAAAAAAAAQAgAAAAKgEAAGRycy9lMm9Eb2MueG1s&#10;UEsFBgAAAAAGAAYAWQEAAI4FAAAAAA==&#10;">
                <v:fill on="f" focussize="0,0"/>
                <v:stroke color="#000000" joinstyle="round" endarrow="block"/>
                <v:imagedata o:title=""/>
                <o:lock v:ext="edit" aspectratio="f"/>
              </v:line>
            </w:pict>
          </mc:Fallback>
        </mc:AlternateContent>
      </w:r>
    </w:p>
    <w:p>
      <w:pPr>
        <w:spacing w:line="600" w:lineRule="exact"/>
        <w:rPr>
          <w:rFonts w:eastAsia="仿宋_GB2312"/>
          <w:b/>
          <w:bCs/>
          <w:sz w:val="32"/>
          <w:szCs w:val="32"/>
        </w:rPr>
      </w:pPr>
      <w:r>
        <mc:AlternateContent>
          <mc:Choice Requires="wps">
            <w:drawing>
              <wp:anchor distT="0" distB="0" distL="114300" distR="114300" simplePos="0" relativeHeight="251663360" behindDoc="0" locked="0" layoutInCell="1" allowOverlap="1">
                <wp:simplePos x="0" y="0"/>
                <wp:positionH relativeFrom="column">
                  <wp:posOffset>1558925</wp:posOffset>
                </wp:positionH>
                <wp:positionV relativeFrom="paragraph">
                  <wp:posOffset>294640</wp:posOffset>
                </wp:positionV>
                <wp:extent cx="1841500" cy="422910"/>
                <wp:effectExtent l="4445" t="4445" r="20955" b="1079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841500" cy="422910"/>
                        </a:xfrm>
                        <a:prstGeom prst="rect">
                          <a:avLst/>
                        </a:prstGeom>
                        <a:solidFill>
                          <a:srgbClr val="FFFFFF"/>
                        </a:solidFill>
                        <a:ln w="9525" cmpd="sng">
                          <a:solidFill>
                            <a:srgbClr val="000000"/>
                          </a:solidFill>
                          <a:miter lim="800000"/>
                        </a:ln>
                        <a:effectLst/>
                      </wps:spPr>
                      <wps:txbx>
                        <w:txbxContent>
                          <w:p>
                            <w:pPr>
                              <w:spacing w:line="360" w:lineRule="exact"/>
                              <w:ind w:firstLine="840" w:firstLineChars="400"/>
                              <w:rPr>
                                <w:color w:val="000000"/>
                                <w:lang w:val="zh-Hans"/>
                              </w:rPr>
                            </w:pPr>
                            <w:r>
                              <w:rPr>
                                <w:rFonts w:hint="eastAsia" w:ascii="宋体" w:hAnsi="宋体"/>
                                <w:color w:val="000000"/>
                                <w:lang w:val="zh-Hans"/>
                              </w:rPr>
                              <w:t>挂号处</w:t>
                            </w:r>
                            <w:r>
                              <w:rPr>
                                <w:rFonts w:hint="eastAsia" w:ascii="宋体" w:hAnsi="宋体"/>
                                <w:color w:val="000000"/>
                                <w:lang w:val="zh-Hans" w:eastAsia="zh-Hans"/>
                              </w:rPr>
                              <w:t>挂号</w:t>
                            </w:r>
                          </w:p>
                          <w:p>
                            <w:pPr>
                              <w:rPr>
                                <w:rFonts w:eastAsia="Times New Roman"/>
                                <w:lang w:val="zh-Hans" w:eastAsia="zh-Han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75pt;margin-top:23.2pt;height:33.3pt;width:145pt;z-index:251663360;mso-width-relative:page;mso-height-relative:page;" fillcolor="#FFFFFF" filled="t" stroked="t" coordsize="21600,21600" o:gfxdata="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vH+o2AAAAAoBAAAPAAAAAAAAAAEAIAAAACIAAABkcnMvZG93bnJldi54&#10;bWxQSwECFAAUAAAACACHTuJAFy8yvjMCAABUBAAADgAAAAAAAAABACAAAAAnAQAAZHJzL2Uyb0Rv&#10;Yy54bWxQSwUGAAAAAAYABgBZAQAAzAUAAAAA&#10;">
                <v:fill on="t" focussize="0,0"/>
                <v:stroke color="#000000" miterlimit="8" joinstyle="miter"/>
                <v:imagedata o:title=""/>
                <o:lock v:ext="edit" aspectratio="f"/>
                <v:textbox>
                  <w:txbxContent>
                    <w:p>
                      <w:pPr>
                        <w:spacing w:line="360" w:lineRule="exact"/>
                        <w:ind w:firstLine="840" w:firstLineChars="400"/>
                        <w:rPr>
                          <w:color w:val="000000"/>
                          <w:lang w:val="zh-Hans"/>
                        </w:rPr>
                      </w:pPr>
                      <w:r>
                        <w:rPr>
                          <w:rFonts w:hint="eastAsia" w:ascii="宋体" w:hAnsi="宋体"/>
                          <w:color w:val="000000"/>
                          <w:lang w:val="zh-Hans"/>
                        </w:rPr>
                        <w:t>挂号处</w:t>
                      </w:r>
                      <w:r>
                        <w:rPr>
                          <w:rFonts w:hint="eastAsia" w:ascii="宋体" w:hAnsi="宋体"/>
                          <w:color w:val="000000"/>
                          <w:lang w:val="zh-Hans" w:eastAsia="zh-Hans"/>
                        </w:rPr>
                        <w:t>挂号</w:t>
                      </w:r>
                    </w:p>
                    <w:p>
                      <w:pPr>
                        <w:rPr>
                          <w:rFonts w:eastAsia="Times New Roman"/>
                          <w:lang w:val="zh-Hans" w:eastAsia="zh-Hans"/>
                        </w:rPr>
                      </w:pPr>
                    </w:p>
                  </w:txbxContent>
                </v:textbox>
              </v:shape>
            </w:pict>
          </mc:Fallback>
        </mc:AlternateContent>
      </w:r>
    </w:p>
    <w:p>
      <w:pPr>
        <w:spacing w:line="600" w:lineRule="exact"/>
        <w:rPr>
          <w:rFonts w:eastAsia="仿宋_GB2312"/>
          <w:b/>
          <w:bCs/>
          <w:sz w:val="32"/>
          <w:szCs w:val="32"/>
        </w:rPr>
      </w:pPr>
    </w:p>
    <w:p>
      <w:pPr>
        <w:spacing w:line="600" w:lineRule="exact"/>
        <w:rPr>
          <w:rFonts w:eastAsia="仿宋_GB2312"/>
          <w:b/>
          <w:bCs/>
          <w:sz w:val="32"/>
          <w:szCs w:val="32"/>
        </w:rPr>
      </w:pPr>
      <w:r>
        <mc:AlternateContent>
          <mc:Choice Requires="wps">
            <w:drawing>
              <wp:anchor distT="0" distB="0" distL="114300" distR="114300" simplePos="0" relativeHeight="251675648" behindDoc="0" locked="0" layoutInCell="1" allowOverlap="1">
                <wp:simplePos x="0" y="0"/>
                <wp:positionH relativeFrom="column">
                  <wp:posOffset>1942465</wp:posOffset>
                </wp:positionH>
                <wp:positionV relativeFrom="paragraph">
                  <wp:posOffset>304800</wp:posOffset>
                </wp:positionV>
                <wp:extent cx="554355" cy="293370"/>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54355" cy="293370"/>
                        </a:xfrm>
                        <a:prstGeom prst="rect">
                          <a:avLst/>
                        </a:prstGeom>
                        <a:solidFill>
                          <a:srgbClr val="FFFFFF"/>
                        </a:solidFill>
                        <a:ln>
                          <a:noFill/>
                        </a:ln>
                        <a:effectLst/>
                      </wps:spPr>
                      <wps:txbx>
                        <w:txbxContent>
                          <w:p>
                            <w:pPr>
                              <w:rPr>
                                <w:rFonts w:ascii="宋体"/>
                                <w:lang w:val="zh-Hans" w:eastAsia="zh-Hans"/>
                              </w:rPr>
                            </w:pPr>
                            <w:r>
                              <w:rPr>
                                <w:rFonts w:ascii="宋体" w:hAnsi="宋体"/>
                              </w:rPr>
                              <w:t xml:space="preserve"> </w:t>
                            </w:r>
                            <w:r>
                              <w:rPr>
                                <w:rFonts w:hint="eastAsia" w:ascii="宋体" w:hAnsi="宋体"/>
                                <w:lang w:val="zh-Hans" w:eastAsia="zh-Hans"/>
                              </w:rPr>
                              <w:t>住院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2.95pt;margin-top:24pt;height:23.1pt;width:43.65pt;z-index:251675648;mso-width-relative:page;mso-height-relative:page;" fillcolor="#FFFFFF" filled="t" stroked="f" coordsize="21600,21600" o:gfxdata="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z6u72AAAAAkBAAAPAAAA&#10;AAAAAAEAIAAAACIAAABkcnMvZG93bnJldi54bWxQSwECFAAUAAAACACHTuJAxn7RnRUCAAD/AwAA&#10;DgAAAAAAAAABACAAAAAnAQAAZHJzL2Uyb0RvYy54bWxQSwUGAAAAAAYABgBZAQAArgUAAAAA&#10;">
                <v:fill on="t" focussize="0,0"/>
                <v:stroke on="f"/>
                <v:imagedata o:title=""/>
                <o:lock v:ext="edit" aspectratio="f"/>
                <v:textbox>
                  <w:txbxContent>
                    <w:p>
                      <w:pPr>
                        <w:rPr>
                          <w:rFonts w:ascii="宋体"/>
                          <w:lang w:val="zh-Hans" w:eastAsia="zh-Hans"/>
                        </w:rPr>
                      </w:pPr>
                      <w:r>
                        <w:rPr>
                          <w:rFonts w:ascii="宋体" w:hAnsi="宋体"/>
                        </w:rPr>
                        <w:t xml:space="preserve"> </w:t>
                      </w:r>
                      <w:r>
                        <w:rPr>
                          <w:rFonts w:hint="eastAsia" w:ascii="宋体" w:hAnsi="宋体"/>
                          <w:lang w:val="zh-Hans" w:eastAsia="zh-Hans"/>
                        </w:rPr>
                        <w:t>住院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3232150</wp:posOffset>
                </wp:positionH>
                <wp:positionV relativeFrom="paragraph">
                  <wp:posOffset>279400</wp:posOffset>
                </wp:positionV>
                <wp:extent cx="2035175" cy="407035"/>
                <wp:effectExtent l="0" t="0" r="22225" b="1206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035175" cy="407035"/>
                        </a:xfrm>
                        <a:prstGeom prst="rect">
                          <a:avLst/>
                        </a:prstGeom>
                        <a:solidFill>
                          <a:srgbClr val="FFFFFF"/>
                        </a:solidFill>
                        <a:ln w="9525" cmpd="sng">
                          <a:solidFill>
                            <a:srgbClr val="000000"/>
                          </a:solidFill>
                          <a:miter lim="800000"/>
                        </a:ln>
                        <a:effectLst/>
                      </wps:spPr>
                      <wps:txbx>
                        <w:txbxContent>
                          <w:p>
                            <w:pPr>
                              <w:spacing w:line="360" w:lineRule="exact"/>
                              <w:jc w:val="center"/>
                              <w:rPr>
                                <w:rFonts w:ascii="宋体"/>
                                <w:lang w:val="zh-Hans"/>
                              </w:rPr>
                            </w:pPr>
                            <w:r>
                              <w:rPr>
                                <w:rFonts w:hint="eastAsia" w:ascii="宋体" w:hAnsi="宋体"/>
                                <w:lang w:val="zh-Hans" w:eastAsia="zh-Hans"/>
                              </w:rPr>
                              <w:t>办理住院登记手续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4.5pt;margin-top:22pt;height:32.05pt;width:160.25pt;z-index:251667456;mso-width-relative:page;mso-height-relative:page;" fillcolor="#FFFFFF" filled="t" stroked="t" coordsize="21600,21600" o:gfxdata="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1QtxnaAAAACgEAAA8AAAAAAAAAAQAgAAAAIgAAAGRycy9kb3ducmV2&#10;LnhtbFBLAQIUABQAAAAIAIdO4kBEzYzQMwIAAFQEAAAOAAAAAAAAAAEAIAAAACkBAABkcnMvZTJv&#10;RG9jLnhtbFBLBQYAAAAABgAGAFkBAADOBQAAAAA=&#10;">
                <v:fill on="t" focussize="0,0"/>
                <v:stroke color="#000000" miterlimit="8" joinstyle="miter"/>
                <v:imagedata o:title=""/>
                <o:lock v:ext="edit" aspectratio="f"/>
                <v:textbox>
                  <w:txbxContent>
                    <w:p>
                      <w:pPr>
                        <w:spacing w:line="360" w:lineRule="exact"/>
                        <w:jc w:val="center"/>
                        <w:rPr>
                          <w:rFonts w:ascii="宋体"/>
                          <w:lang w:val="zh-Hans"/>
                        </w:rPr>
                      </w:pPr>
                      <w:r>
                        <w:rPr>
                          <w:rFonts w:hint="eastAsia" w:ascii="宋体" w:hAnsi="宋体"/>
                          <w:lang w:val="zh-Hans" w:eastAsia="zh-Hans"/>
                        </w:rPr>
                        <w:t>办理住院登记手续</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601980</wp:posOffset>
                </wp:positionH>
                <wp:positionV relativeFrom="paragraph">
                  <wp:posOffset>290195</wp:posOffset>
                </wp:positionV>
                <wp:extent cx="775970" cy="445135"/>
                <wp:effectExtent l="4445" t="4445" r="19685" b="762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775970" cy="445135"/>
                        </a:xfrm>
                        <a:prstGeom prst="rect">
                          <a:avLst/>
                        </a:prstGeom>
                        <a:solidFill>
                          <a:srgbClr val="FFFFFF"/>
                        </a:solidFill>
                        <a:ln w="9525" cmpd="sng">
                          <a:solidFill>
                            <a:srgbClr val="000000"/>
                          </a:solidFill>
                          <a:miter lim="800000"/>
                        </a:ln>
                        <a:effectLst/>
                      </wps:spPr>
                      <wps:txbx>
                        <w:txbxContent>
                          <w:p>
                            <w:pPr>
                              <w:jc w:val="center"/>
                              <w:rPr>
                                <w:rFonts w:ascii="宋体"/>
                                <w:lang w:val="zh-Hans" w:eastAsia="zh-Hans"/>
                              </w:rPr>
                            </w:pPr>
                            <w:r>
                              <w:rPr>
                                <w:rFonts w:hint="eastAsia" w:ascii="宋体" w:hAnsi="宋体"/>
                                <w:lang w:val="zh-Hans" w:eastAsia="zh-Hans"/>
                              </w:rPr>
                              <w:t>诊室就诊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7.4pt;margin-top:22.85pt;height:35.05pt;width:61.1pt;z-index:251664384;mso-width-relative:page;mso-height-relative:page;" fillcolor="#FFFFFF" filled="t" stroked="t" coordsize="21600,21600" o:gfxdata="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k/fIdkAAAAJAQAADwAAAAAAAAABACAAAAAiAAAAZHJzL2Rvd25yZXYu&#10;eG1sUEsBAhQAFAAAAAgAh07iQDtSIaczAgAAUwQAAA4AAAAAAAAAAQAgAAAAKAEAAGRycy9lMm9E&#10;b2MueG1sUEsFBgAAAAAGAAYAWQEAAM0FAAAAAA==&#10;">
                <v:fill on="t" focussize="0,0"/>
                <v:stroke color="#000000" miterlimit="8" joinstyle="miter"/>
                <v:imagedata o:title=""/>
                <o:lock v:ext="edit" aspectratio="f"/>
                <v:textbox>
                  <w:txbxContent>
                    <w:p>
                      <w:pPr>
                        <w:jc w:val="center"/>
                        <w:rPr>
                          <w:rFonts w:ascii="宋体"/>
                          <w:lang w:val="zh-Hans" w:eastAsia="zh-Hans"/>
                        </w:rPr>
                      </w:pPr>
                      <w:r>
                        <w:rPr>
                          <w:rFonts w:hint="eastAsia" w:ascii="宋体" w:hAnsi="宋体"/>
                          <w:lang w:val="zh-Hans" w:eastAsia="zh-Hans"/>
                        </w:rPr>
                        <w:t>诊室就诊</w:t>
                      </w:r>
                    </w:p>
                  </w:txbxContent>
                </v:textbox>
              </v:shape>
            </w:pict>
          </mc:Fallback>
        </mc:AlternateContent>
      </w:r>
    </w:p>
    <w:p>
      <w:pPr>
        <w:spacing w:line="600" w:lineRule="exact"/>
        <w:rPr>
          <w:rFonts w:eastAsia="仿宋_GB2312"/>
          <w:b/>
          <w:bCs/>
          <w:sz w:val="32"/>
          <w:szCs w:val="32"/>
        </w:rPr>
      </w:pPr>
      <w:r>
        <mc:AlternateContent>
          <mc:Choice Requires="wps">
            <w:drawing>
              <wp:anchor distT="36195" distB="36195" distL="36195" distR="36195" simplePos="0" relativeHeight="251677696" behindDoc="0" locked="0" layoutInCell="1" allowOverlap="1">
                <wp:simplePos x="0" y="0"/>
                <wp:positionH relativeFrom="column">
                  <wp:posOffset>4217035</wp:posOffset>
                </wp:positionH>
                <wp:positionV relativeFrom="paragraph">
                  <wp:posOffset>335915</wp:posOffset>
                </wp:positionV>
                <wp:extent cx="0" cy="534035"/>
                <wp:effectExtent l="76200" t="0" r="57150" b="565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534035"/>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332.05pt;margin-top:26.45pt;height:42.05pt;width:0pt;z-index:251677696;mso-width-relative:page;mso-height-relative:page;" filled="f" stroked="t" coordsize="21600,21600" o:gfxdata="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RVjNkAAAAKAQAADwAAAAAAAAABACAAAAAiAAAAZHJzL2Rvd25yZXYueG1sUEsBAhQAFAAA&#10;AAgAh07iQGrppcbuAQAApAMAAA4AAAAAAAAAAQAgAAAAKA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1452880</wp:posOffset>
                </wp:positionH>
                <wp:positionV relativeFrom="paragraph">
                  <wp:posOffset>102870</wp:posOffset>
                </wp:positionV>
                <wp:extent cx="1780540" cy="635"/>
                <wp:effectExtent l="0" t="76200" r="29210" b="94615"/>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1780540" cy="635"/>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114.4pt;margin-top:8.1pt;height:0.05pt;width:140.2pt;z-index:251674624;mso-width-relative:page;mso-height-relative:page;" filled="f" stroked="t" coordsize="21600,21600" o:gfxdata="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wvLk2QAAAAkBAAAPAAAAAAAAAAEAIAAAACIAAABkcnMvZG93bnJldi54bWxQSwEC&#10;FAAUAAAACACHTuJAUamoSvMBAACnAwAADgAAAAAAAAABACAAAAAoAQAAZHJzL2Uyb0RvYy54bWxQ&#10;SwUGAAAAAAYABgBZAQAAjQUAAAAA&#10;">
                <v:fill on="f" focussize="0,0"/>
                <v:stroke color="#000000" joinstyle="round" endarrow="block"/>
                <v:imagedata o:title=""/>
                <o:lock v:ext="edit" aspectratio="f"/>
              </v:line>
            </w:pict>
          </mc:Fallback>
        </mc:AlternateContent>
      </w:r>
    </w:p>
    <w:p>
      <w:pPr>
        <w:spacing w:line="600" w:lineRule="exact"/>
        <w:rPr>
          <w:rFonts w:eastAsia="仿宋_GB2312"/>
          <w:b/>
          <w:bCs/>
          <w:sz w:val="32"/>
          <w:szCs w:val="32"/>
        </w:rPr>
      </w:pPr>
      <w:r>
        <mc:AlternateContent>
          <mc:Choice Requires="wps">
            <w:drawing>
              <wp:anchor distT="0" distB="0" distL="114300" distR="114300" simplePos="0" relativeHeight="251679744" behindDoc="0" locked="0" layoutInCell="1" allowOverlap="1">
                <wp:simplePos x="0" y="0"/>
                <wp:positionH relativeFrom="column">
                  <wp:posOffset>1113155</wp:posOffset>
                </wp:positionH>
                <wp:positionV relativeFrom="paragraph">
                  <wp:posOffset>143510</wp:posOffset>
                </wp:positionV>
                <wp:extent cx="2118995" cy="272415"/>
                <wp:effectExtent l="0" t="0" r="14605" b="13335"/>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118995" cy="272415"/>
                        </a:xfrm>
                        <a:prstGeom prst="rect">
                          <a:avLst/>
                        </a:prstGeom>
                        <a:solidFill>
                          <a:srgbClr val="FFFFFF"/>
                        </a:solidFill>
                        <a:ln>
                          <a:noFill/>
                        </a:ln>
                        <a:effectLst/>
                      </wps:spPr>
                      <wps:txbx>
                        <w:txbxContent>
                          <w:p>
                            <w:pPr>
                              <w:rPr>
                                <w:rFonts w:ascii="仿宋_GB2312" w:eastAsia="仿宋_GB2312" w:cs="仿宋_GB2312"/>
                                <w:b/>
                                <w:bCs/>
                              </w:rPr>
                            </w:pPr>
                            <w:r>
                              <w:rPr>
                                <w:rFonts w:hint="eastAsia" w:ascii="宋体" w:hAnsi="宋体"/>
                              </w:rPr>
                              <w:t>普通门诊、</w:t>
                            </w:r>
                            <w:r>
                              <w:rPr>
                                <w:rFonts w:hint="eastAsia" w:ascii="宋体" w:hAnsi="宋体"/>
                                <w:lang w:val="zh-Hans" w:eastAsia="zh-Hans"/>
                              </w:rPr>
                              <w:t>门慢、门特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7.65pt;margin-top:11.3pt;height:21.45pt;width:166.85pt;z-index:251679744;mso-width-relative:page;mso-height-relative:page;" fillcolor="#FFFFFF" filled="t" stroked="f" coordsize="21600,21600" o:gfxdata="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lxqz1wAAAAkBAAAPAAAA&#10;AAAAAAEAIAAAACIAAABkcnMvZG93bnJldi54bWxQSwECFAAUAAAACACHTuJAeRi9whYCAAAABAAA&#10;DgAAAAAAAAABACAAAAAmAQAAZHJzL2Uyb0RvYy54bWxQSwUGAAAAAAYABgBZAQAArgUAAAAA&#10;">
                <v:fill on="t" focussize="0,0"/>
                <v:stroke on="f"/>
                <v:imagedata o:title=""/>
                <o:lock v:ext="edit" aspectratio="f"/>
                <v:textbox>
                  <w:txbxContent>
                    <w:p>
                      <w:pPr>
                        <w:rPr>
                          <w:rFonts w:ascii="仿宋_GB2312" w:eastAsia="仿宋_GB2312" w:cs="仿宋_GB2312"/>
                          <w:b/>
                          <w:bCs/>
                        </w:rPr>
                      </w:pPr>
                      <w:r>
                        <w:rPr>
                          <w:rFonts w:hint="eastAsia" w:ascii="宋体" w:hAnsi="宋体"/>
                        </w:rPr>
                        <w:t>普通门诊、</w:t>
                      </w:r>
                      <w:r>
                        <w:rPr>
                          <w:rFonts w:hint="eastAsia" w:ascii="宋体" w:hAnsi="宋体"/>
                          <w:lang w:val="zh-Hans" w:eastAsia="zh-Hans"/>
                        </w:rPr>
                        <w:t>门慢、门特</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1004570</wp:posOffset>
                </wp:positionH>
                <wp:positionV relativeFrom="paragraph">
                  <wp:posOffset>12065</wp:posOffset>
                </wp:positionV>
                <wp:extent cx="635" cy="534035"/>
                <wp:effectExtent l="37465" t="0" r="38100" b="18415"/>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635" cy="534035"/>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79.1pt;margin-top:0.95pt;height:42.05pt;width:0.05pt;z-index:251676672;mso-width-relative:page;mso-height-relative:page;" filled="f" stroked="t" coordsize="21600,21600" o:gfxdata="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EVnu9gAAAAIAQAADwAAAAAAAAABACAAAAAiAAAAZHJzL2Rvd25yZXYueG1sUEsBAhQAFAAA&#10;AAgAh07iQGqSEMDvAQAApgMAAA4AAAAAAAAAAQAgAAAAJwEAAGRycy9lMm9Eb2MueG1sUEsFBgAA&#10;AAAGAAYAWQEAAIgFAAAAAA==&#10;">
                <v:fill on="f" focussize="0,0"/>
                <v:stroke color="#000000" joinstyle="round" endarrow="block"/>
                <v:imagedata o:title=""/>
                <o:lock v:ext="edit" aspectratio="f"/>
              </v:line>
            </w:pict>
          </mc:Fallback>
        </mc:AlternateContent>
      </w:r>
    </w:p>
    <w:p>
      <w:pPr>
        <w:spacing w:line="600" w:lineRule="exact"/>
        <w:rPr>
          <w:rFonts w:eastAsia="仿宋_GB2312"/>
          <w:b/>
          <w:bCs/>
          <w:sz w:val="32"/>
          <w:szCs w:val="32"/>
        </w:rPr>
      </w:pPr>
      <w:r>
        <mc:AlternateContent>
          <mc:Choice Requires="wps">
            <w:drawing>
              <wp:anchor distT="0" distB="0" distL="114300" distR="114300" simplePos="0" relativeHeight="251668480" behindDoc="0" locked="0" layoutInCell="1" allowOverlap="1">
                <wp:simplePos x="0" y="0"/>
                <wp:positionH relativeFrom="column">
                  <wp:posOffset>3862705</wp:posOffset>
                </wp:positionH>
                <wp:positionV relativeFrom="paragraph">
                  <wp:posOffset>168910</wp:posOffset>
                </wp:positionV>
                <wp:extent cx="775970" cy="337185"/>
                <wp:effectExtent l="0" t="0" r="24130" b="2476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775970" cy="337185"/>
                        </a:xfrm>
                        <a:prstGeom prst="rect">
                          <a:avLst/>
                        </a:prstGeom>
                        <a:solidFill>
                          <a:srgbClr val="FFFFFF"/>
                        </a:solidFill>
                        <a:ln w="9525" cmpd="sng">
                          <a:solidFill>
                            <a:srgbClr val="000000"/>
                          </a:solidFill>
                          <a:miter lim="800000"/>
                        </a:ln>
                        <a:effectLst/>
                      </wps:spPr>
                      <wps:txbx>
                        <w:txbxContent>
                          <w:p>
                            <w:pPr>
                              <w:rPr>
                                <w:rFonts w:ascii="宋体"/>
                                <w:lang w:val="zh-Hans" w:eastAsia="zh-Hans"/>
                              </w:rPr>
                            </w:pPr>
                            <w:r>
                              <w:rPr>
                                <w:rFonts w:hint="eastAsia" w:ascii="宋体" w:hAnsi="宋体"/>
                                <w:lang w:val="zh-Hans" w:eastAsia="zh-Hans"/>
                              </w:rPr>
                              <w:t>住院治疗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15pt;margin-top:13.3pt;height:26.55pt;width:61.1pt;z-index:251668480;mso-width-relative:page;mso-height-relative:page;" fillcolor="#FFFFFF" filled="t" stroked="t" coordsize="21600,21600" o:gfxdata="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PgyndkAAAAJAQAADwAAAAAAAAABACAAAAAiAAAAZHJzL2Rvd25yZXYu&#10;eG1sUEsBAhQAFAAAAAgAh07iQK+hLHMzAgAAUwQAAA4AAAAAAAAAAQAgAAAAKAEAAGRycy9lMm9E&#10;b2MueG1sUEsFBgAAAAAGAAYAWQEAAM0FAAAAAA==&#10;">
                <v:fill on="t" focussize="0,0"/>
                <v:stroke color="#000000" miterlimit="8" joinstyle="miter"/>
                <v:imagedata o:title=""/>
                <o:lock v:ext="edit" aspectratio="f"/>
                <v:textbox>
                  <w:txbxContent>
                    <w:p>
                      <w:pPr>
                        <w:rPr>
                          <w:rFonts w:ascii="宋体"/>
                          <w:lang w:val="zh-Hans" w:eastAsia="zh-Hans"/>
                        </w:rPr>
                      </w:pPr>
                      <w:r>
                        <w:rPr>
                          <w:rFonts w:hint="eastAsia" w:ascii="宋体" w:hAnsi="宋体"/>
                          <w:lang w:val="zh-Hans" w:eastAsia="zh-Hans"/>
                        </w:rPr>
                        <w:t>住院治疗</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200660</wp:posOffset>
                </wp:positionH>
                <wp:positionV relativeFrom="paragraph">
                  <wp:posOffset>165100</wp:posOffset>
                </wp:positionV>
                <wp:extent cx="1638300" cy="345440"/>
                <wp:effectExtent l="4445" t="4445" r="14605" b="12065"/>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638300" cy="345440"/>
                        </a:xfrm>
                        <a:prstGeom prst="rect">
                          <a:avLst/>
                        </a:prstGeom>
                        <a:solidFill>
                          <a:srgbClr val="FFFFFF"/>
                        </a:solidFill>
                        <a:ln w="9525" cmpd="sng">
                          <a:solidFill>
                            <a:srgbClr val="000000"/>
                          </a:solidFill>
                          <a:miter lim="800000"/>
                        </a:ln>
                        <a:effectLst/>
                      </wps:spPr>
                      <wps:txbx>
                        <w:txbxContent>
                          <w:p>
                            <w:pPr>
                              <w:jc w:val="center"/>
                              <w:rPr>
                                <w:rFonts w:ascii="宋体" w:hAnsi="宋体"/>
                                <w:lang w:val="zh-Hans"/>
                              </w:rPr>
                            </w:pPr>
                            <w:r>
                              <w:rPr>
                                <w:rFonts w:hint="eastAsia" w:ascii="宋体" w:hAnsi="宋体"/>
                                <w:lang w:val="zh-Hans" w:eastAsia="zh-Hans"/>
                              </w:rPr>
                              <w:t>收费处办理结账手续</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pt;margin-top:13pt;height:27.2pt;width:129pt;z-index:251665408;mso-width-relative:page;mso-height-relative:page;" fillcolor="#FFFFFF" filled="t" stroked="t" coordsize="21600,21600" o:gfxdata="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EsL51wAAAAgBAAAPAAAAAAAAAAEAIAAAACIAAABkcnMvZG93bnJldi54bWxQ&#10;SwECFAAUAAAACACHTuJAmLsr7TECAABUBAAADgAAAAAAAAABACAAAAAmAQAAZHJzL2Uyb0RvYy54&#10;bWxQSwUGAAAAAAYABgBZAQAAyQUAAAAA&#10;">
                <v:fill on="t" focussize="0,0"/>
                <v:stroke color="#000000" miterlimit="8" joinstyle="miter"/>
                <v:imagedata o:title=""/>
                <o:lock v:ext="edit" aspectratio="f"/>
                <v:textbox>
                  <w:txbxContent>
                    <w:p>
                      <w:pPr>
                        <w:jc w:val="center"/>
                        <w:rPr>
                          <w:rFonts w:ascii="宋体" w:hAnsi="宋体"/>
                          <w:lang w:val="zh-Hans"/>
                        </w:rPr>
                      </w:pPr>
                      <w:r>
                        <w:rPr>
                          <w:rFonts w:hint="eastAsia" w:ascii="宋体" w:hAnsi="宋体"/>
                          <w:lang w:val="zh-Hans" w:eastAsia="zh-Hans"/>
                        </w:rPr>
                        <w:t>收费处办理结账手续</w:t>
                      </w:r>
                    </w:p>
                  </w:txbxContent>
                </v:textbox>
              </v:shape>
            </w:pict>
          </mc:Fallback>
        </mc:AlternateContent>
      </w:r>
    </w:p>
    <w:p>
      <w:pPr>
        <w:spacing w:line="600" w:lineRule="exact"/>
        <w:rPr>
          <w:rFonts w:eastAsia="仿宋_GB2312"/>
          <w:b/>
          <w:bCs/>
          <w:sz w:val="32"/>
          <w:szCs w:val="32"/>
        </w:rPr>
      </w:pPr>
      <w:r>
        <mc:AlternateContent>
          <mc:Choice Requires="wps">
            <w:drawing>
              <wp:anchor distT="36195" distB="36195" distL="36195" distR="36195" simplePos="0" relativeHeight="251678720" behindDoc="0" locked="0" layoutInCell="1" allowOverlap="1">
                <wp:simplePos x="0" y="0"/>
                <wp:positionH relativeFrom="column">
                  <wp:posOffset>4217035</wp:posOffset>
                </wp:positionH>
                <wp:positionV relativeFrom="paragraph">
                  <wp:posOffset>128905</wp:posOffset>
                </wp:positionV>
                <wp:extent cx="10160" cy="621665"/>
                <wp:effectExtent l="57150" t="0" r="66040" b="64135"/>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10160" cy="621665"/>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margin-left:332.05pt;margin-top:10.15pt;height:48.95pt;width:0.8pt;z-index:251678720;mso-width-relative:page;mso-height-relative:page;" filled="f" stroked="t" coordsize="21600,21600" o:gfxdata="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Jjy2gAAAAoBAAAPAAAAAAAAAAEAIAAAACIAAABkcnMvZG93bnJldi54bWxQSwEC&#10;FAAUAAAACACHTuJAw7KS4vIBAACoAwAADgAAAAAAAAABACAAAAApAQAAZHJzL2Uyb0RvYy54bWxQ&#10;SwUGAAAAAAYABgBZAQAAj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1005205</wp:posOffset>
                </wp:positionH>
                <wp:positionV relativeFrom="paragraph">
                  <wp:posOffset>129540</wp:posOffset>
                </wp:positionV>
                <wp:extent cx="0" cy="624840"/>
                <wp:effectExtent l="38100" t="0" r="38100" b="381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flipH="1">
                          <a:off x="0" y="0"/>
                          <a:ext cx="0" cy="624840"/>
                        </a:xfrm>
                        <a:prstGeom prst="line">
                          <a:avLst/>
                        </a:prstGeom>
                        <a:noFill/>
                        <a:ln w="9525" cmpd="sng">
                          <a:solidFill>
                            <a:srgbClr val="000000"/>
                          </a:solidFill>
                          <a:round/>
                          <a:tailEnd type="triangle" w="med" len="med"/>
                        </a:ln>
                        <a:effectLst/>
                      </wps:spPr>
                      <wps:bodyPr/>
                    </wps:wsp>
                  </a:graphicData>
                </a:graphic>
              </wp:anchor>
            </w:drawing>
          </mc:Choice>
          <mc:Fallback>
            <w:pict>
              <v:line id="_x0000_s1026" o:spid="_x0000_s1026" o:spt="20" style="position:absolute;left:0pt;flip:x;margin-left:79.15pt;margin-top:10.2pt;height:49.2pt;width:0pt;z-index:251673600;mso-width-relative:page;mso-height-relative:page;" filled="f" stroked="t" coordsize="21600,21600" o:gfxdata="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DCSP3YAAAACgEAAA8AAAAAAAAAAQAgAAAAIgAAAGRycy9kb3ducmV2LnhtbFBL&#10;AQIUABQAAAAIAIdO4kDRcKjJ9gEAAK4DAAAOAAAAAAAAAAEAIAAAACcBAABkcnMvZTJvRG9jLnht&#10;bFBLBQYAAAAABgAGAFkBAACPBQAAAAA=&#10;">
                <v:fill on="f" focussize="0,0"/>
                <v:stroke color="#000000" joinstyle="round" endarrow="block"/>
                <v:imagedata o:title=""/>
                <o:lock v:ext="edit" aspectratio="f"/>
              </v:line>
            </w:pict>
          </mc:Fallback>
        </mc:AlternateContent>
      </w:r>
    </w:p>
    <w:p>
      <w:pPr>
        <w:spacing w:line="600" w:lineRule="exact"/>
        <w:rPr>
          <w:rFonts w:eastAsia="仿宋_GB2312"/>
          <w:b/>
          <w:bCs/>
          <w:sz w:val="32"/>
          <w:szCs w:val="32"/>
        </w:rPr>
      </w:pPr>
      <w:r>
        <mc:AlternateContent>
          <mc:Choice Requires="wps">
            <w:drawing>
              <wp:anchor distT="0" distB="0" distL="114300" distR="114300" simplePos="0" relativeHeight="251669504" behindDoc="0" locked="0" layoutInCell="1" allowOverlap="1">
                <wp:simplePos x="0" y="0"/>
                <wp:positionH relativeFrom="column">
                  <wp:posOffset>3400425</wp:posOffset>
                </wp:positionH>
                <wp:positionV relativeFrom="paragraph">
                  <wp:posOffset>373380</wp:posOffset>
                </wp:positionV>
                <wp:extent cx="1623060" cy="347345"/>
                <wp:effectExtent l="4445" t="4445" r="10795" b="1016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1623060" cy="347345"/>
                        </a:xfrm>
                        <a:prstGeom prst="rect">
                          <a:avLst/>
                        </a:prstGeom>
                        <a:solidFill>
                          <a:srgbClr val="FFFFFF"/>
                        </a:solidFill>
                        <a:ln w="9525" cmpd="sng">
                          <a:solidFill>
                            <a:srgbClr val="000000"/>
                          </a:solidFill>
                          <a:miter lim="800000"/>
                        </a:ln>
                        <a:effectLst/>
                      </wps:spPr>
                      <wps:txbx>
                        <w:txbxContent>
                          <w:p>
                            <w:pPr>
                              <w:jc w:val="center"/>
                              <w:rPr>
                                <w:rFonts w:ascii="宋体" w:hAnsi="宋体"/>
                                <w:lang w:val="zh-Hans"/>
                              </w:rPr>
                            </w:pPr>
                            <w:r>
                              <w:rPr>
                                <w:rFonts w:hint="eastAsia" w:ascii="宋体" w:hAnsi="宋体"/>
                                <w:lang w:val="zh-Hans" w:eastAsia="zh-Hans"/>
                              </w:rPr>
                              <w:t>办理出院结算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7.75pt;margin-top:29.4pt;height:27.35pt;width:127.8pt;z-index:251669504;mso-width-relative:page;mso-height-relative:page;" fillcolor="#FFFFFF" filled="t" stroked="t" coordsize="21600,21600" o:gfxdata="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FPI/2QAAAAoBAAAPAAAAAAAAAAEAIAAAACIAAABkcnMvZG93bnJldi54&#10;bWxQSwECFAAUAAAACACHTuJAmvfbpTICAABUBAAADgAAAAAAAAABACAAAAAoAQAAZHJzL2Uyb0Rv&#10;Yy54bWxQSwUGAAAAAAYABgBZAQAAzAUAAAAA&#10;">
                <v:fill on="t" focussize="0,0"/>
                <v:stroke color="#000000" miterlimit="8" joinstyle="miter"/>
                <v:imagedata o:title=""/>
                <o:lock v:ext="edit" aspectratio="f"/>
                <v:textbox>
                  <w:txbxContent>
                    <w:p>
                      <w:pPr>
                        <w:jc w:val="center"/>
                        <w:rPr>
                          <w:rFonts w:ascii="宋体" w:hAnsi="宋体"/>
                          <w:lang w:val="zh-Hans"/>
                        </w:rPr>
                      </w:pPr>
                      <w:r>
                        <w:rPr>
                          <w:rFonts w:hint="eastAsia" w:ascii="宋体" w:hAnsi="宋体"/>
                          <w:lang w:val="zh-Hans" w:eastAsia="zh-Hans"/>
                        </w:rPr>
                        <w:t>办理出院结算</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339725</wp:posOffset>
                </wp:positionH>
                <wp:positionV relativeFrom="paragraph">
                  <wp:posOffset>373380</wp:posOffset>
                </wp:positionV>
                <wp:extent cx="1355725" cy="337820"/>
                <wp:effectExtent l="4445" t="4445" r="11430" b="19685"/>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355725" cy="337820"/>
                        </a:xfrm>
                        <a:prstGeom prst="rect">
                          <a:avLst/>
                        </a:prstGeom>
                        <a:solidFill>
                          <a:srgbClr val="FFFFFF"/>
                        </a:solidFill>
                        <a:ln w="9525" cmpd="sng">
                          <a:solidFill>
                            <a:srgbClr val="000000"/>
                          </a:solidFill>
                          <a:miter lim="800000"/>
                        </a:ln>
                        <a:effectLst/>
                      </wps:spPr>
                      <wps:txbx>
                        <w:txbxContent>
                          <w:p>
                            <w:pPr>
                              <w:jc w:val="center"/>
                              <w:rPr>
                                <w:rFonts w:ascii="宋体"/>
                                <w:lang w:val="zh-Hans" w:eastAsia="zh-Hans"/>
                              </w:rPr>
                            </w:pPr>
                            <w:r>
                              <w:rPr>
                                <w:rFonts w:hint="eastAsia" w:ascii="宋体" w:hAnsi="宋体"/>
                                <w:lang w:val="zh-Hans" w:eastAsia="zh-Hans"/>
                              </w:rPr>
                              <w:t>检查、治疗、取药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75pt;margin-top:29.4pt;height:26.6pt;width:106.75pt;z-index:251666432;mso-width-relative:page;mso-height-relative:page;" fillcolor="#FFFFFF" filled="t" stroked="t" coordsize="21600,21600" o:gfxdata="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AlXA2AAAAAkBAAAPAAAAAAAAAAEAIAAAACIAAABkcnMvZG93bnJldi54bWxQ&#10;SwECFAAUAAAACACHTuJAyNqGlzACAABUBAAADgAAAAAAAAABACAAAAAnAQAAZHJzL2Uyb0RvYy54&#10;bWxQSwUGAAAAAAYABgBZAQAAyQUAAAAA&#10;">
                <v:fill on="t" focussize="0,0"/>
                <v:stroke color="#000000" miterlimit="8" joinstyle="miter"/>
                <v:imagedata o:title=""/>
                <o:lock v:ext="edit" aspectratio="f"/>
                <v:textbox>
                  <w:txbxContent>
                    <w:p>
                      <w:pPr>
                        <w:jc w:val="center"/>
                        <w:rPr>
                          <w:rFonts w:ascii="宋体"/>
                          <w:lang w:val="zh-Hans" w:eastAsia="zh-Hans"/>
                        </w:rPr>
                      </w:pPr>
                      <w:r>
                        <w:rPr>
                          <w:rFonts w:hint="eastAsia" w:ascii="宋体" w:hAnsi="宋体"/>
                          <w:lang w:val="zh-Hans" w:eastAsia="zh-Hans"/>
                        </w:rPr>
                        <w:t>检查、治疗、取药</w:t>
                      </w:r>
                    </w:p>
                  </w:txbxContent>
                </v:textbox>
              </v:shape>
            </w:pict>
          </mc:Fallback>
        </mc:AlternateContent>
      </w:r>
    </w:p>
    <w:p>
      <w:pPr>
        <w:spacing w:line="600" w:lineRule="exact"/>
        <w:ind w:firstLine="640" w:firstLineChars="200"/>
        <w:rPr>
          <w:rFonts w:eastAsia="黑体"/>
          <w:sz w:val="32"/>
          <w:szCs w:val="32"/>
        </w:rPr>
      </w:pPr>
    </w:p>
    <w:p>
      <w:pPr>
        <w:spacing w:line="440" w:lineRule="exact"/>
        <w:rPr>
          <w:rFonts w:ascii="仿宋_GB2312" w:hAnsi="仿宋_GB2312" w:eastAsia="仿宋_GB2312" w:cs="仿宋_GB2312"/>
          <w:sz w:val="22"/>
          <w:szCs w:val="20"/>
        </w:rPr>
      </w:pPr>
      <w:r>
        <w:rPr>
          <w:rFonts w:hint="eastAsia" w:ascii="仿宋_GB2312" w:hAnsi="仿宋_GB2312" w:eastAsia="仿宋_GB2312" w:cs="仿宋_GB2312"/>
          <w:sz w:val="22"/>
          <w:szCs w:val="20"/>
        </w:rPr>
        <w:t>＊参保人在医保就医过程中，应出示有效医保凭证，并配合定点医疗机构进行身份核实。</w:t>
      </w:r>
    </w:p>
    <w:p>
      <w:pPr>
        <w:spacing w:line="440" w:lineRule="exact"/>
        <w:rPr>
          <w:rFonts w:ascii="仿宋_GB2312" w:hAnsi="仿宋_GB2312" w:eastAsia="仿宋_GB2312" w:cs="仿宋_GB2312"/>
          <w:sz w:val="22"/>
          <w:szCs w:val="20"/>
        </w:rPr>
      </w:pPr>
      <w:r>
        <w:rPr>
          <w:rFonts w:hint="eastAsia" w:ascii="仿宋_GB2312" w:hAnsi="仿宋_GB2312" w:eastAsia="仿宋_GB2312" w:cs="仿宋_GB2312"/>
          <w:sz w:val="22"/>
          <w:szCs w:val="20"/>
        </w:rPr>
        <w:t>＊首次进行普通门诊（含急诊，下同）、产前门诊检查、门慢、门特就医，请按规定办理相关手续。</w:t>
      </w:r>
    </w:p>
    <w:p>
      <w:pPr>
        <w:spacing w:line="440" w:lineRule="exact"/>
        <w:rPr>
          <w:rFonts w:ascii="仿宋_GB2312" w:hAnsi="仿宋_GB2312" w:eastAsia="仿宋_GB2312" w:cs="仿宋_GB2312"/>
          <w:sz w:val="22"/>
          <w:szCs w:val="20"/>
        </w:rPr>
      </w:pPr>
      <w:r>
        <w:rPr>
          <w:rFonts w:hint="eastAsia" w:ascii="仿宋_GB2312" w:hAnsi="仿宋_GB2312" w:eastAsia="仿宋_GB2312" w:cs="仿宋_GB2312"/>
          <w:sz w:val="22"/>
          <w:szCs w:val="20"/>
        </w:rPr>
        <w:t>＊新参保制发医保凭证期间，参保人员可凭办理参保登记所用的有效身份证件在本市社会保险定点医疗机构就医及办理医疗费用结算。</w:t>
      </w:r>
    </w:p>
    <w:p>
      <w:pPr>
        <w:spacing w:line="520" w:lineRule="exact"/>
        <w:ind w:firstLine="640"/>
        <w:rPr>
          <w:rFonts w:ascii="黑体" w:hAnsi="黑体" w:eastAsia="黑体" w:cs="黑体"/>
          <w:sz w:val="32"/>
        </w:rPr>
      </w:pPr>
      <w:r>
        <w:rPr>
          <w:rFonts w:hint="eastAsia" w:ascii="黑体" w:hAnsi="黑体" w:eastAsia="黑体" w:cs="黑体"/>
          <w:sz w:val="32"/>
        </w:rPr>
        <w:t>三、城乡居民医保待遇标准</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参保人可按规定享受普通门诊、住院、门诊指定慢性病、门诊特定项目、指定单病种以及符合生育政策规定的生育医疗待遇。</w:t>
      </w:r>
    </w:p>
    <w:p>
      <w:pPr>
        <w:spacing w:line="52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（一）普通门诊待遇标准</w:t>
      </w:r>
    </w:p>
    <w:p>
      <w:pPr>
        <w:spacing w:line="520" w:lineRule="exact"/>
        <w:ind w:firstLine="640"/>
        <w:rPr>
          <w:rFonts w:eastAsia="Times New Roman"/>
          <w:sz w:val="32"/>
        </w:rPr>
      </w:pPr>
      <w:r>
        <w:rPr>
          <w:rFonts w:hint="eastAsia" w:ascii="仿宋_GB2312" w:hAnsi="仿宋_GB2312" w:eastAsia="仿宋_GB2312" w:cs="仿宋_GB2312"/>
          <w:sz w:val="32"/>
        </w:rPr>
        <w:t>参保人在选定的定点医疗机构进行门诊就诊，发生的属于本市社会医疗保险普通门诊药品目录范围内的基本医疗药费，由统筹基金按以下规定支付：</w:t>
      </w:r>
    </w:p>
    <w:tbl>
      <w:tblPr>
        <w:tblStyle w:val="5"/>
        <w:tblW w:w="9380" w:type="dxa"/>
        <w:tblInd w:w="0" w:type="dxa"/>
        <w:tblLayout w:type="fixed"/>
        <w:tblCellMar>
          <w:top w:w="0" w:type="dxa"/>
          <w:left w:w="10" w:type="dxa"/>
          <w:bottom w:w="0" w:type="dxa"/>
          <w:right w:w="10" w:type="dxa"/>
        </w:tblCellMar>
      </w:tblPr>
      <w:tblGrid>
        <w:gridCol w:w="2130"/>
        <w:gridCol w:w="1704"/>
        <w:gridCol w:w="3929"/>
        <w:gridCol w:w="1617"/>
      </w:tblGrid>
      <w:tr>
        <w:tblPrEx>
          <w:tblLayout w:type="fixed"/>
          <w:tblCellMar>
            <w:top w:w="0" w:type="dxa"/>
            <w:left w:w="10" w:type="dxa"/>
            <w:bottom w:w="0" w:type="dxa"/>
            <w:right w:w="10" w:type="dxa"/>
          </w:tblCellMar>
        </w:tblPrEx>
        <w:trPr>
          <w:trHeight w:val="1"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eastAsia="Times New Roman"/>
                <w:sz w:val="24"/>
              </w:rPr>
            </w:pPr>
            <w:r>
              <w:rPr>
                <w:rFonts w:hint="eastAsia" w:ascii="黑体" w:hAnsi="黑体" w:eastAsia="黑体" w:cs="黑体"/>
                <w:sz w:val="24"/>
              </w:rPr>
              <w:t>人员类别</w:t>
            </w:r>
          </w:p>
        </w:tc>
        <w:tc>
          <w:tcPr>
            <w:tcW w:w="5633"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统筹基金支付比例</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年度最高支付限额</w:t>
            </w:r>
          </w:p>
        </w:tc>
      </w:tr>
      <w:tr>
        <w:tblPrEx>
          <w:tblLayout w:type="fixed"/>
          <w:tblCellMar>
            <w:top w:w="0" w:type="dxa"/>
            <w:left w:w="10" w:type="dxa"/>
            <w:bottom w:w="0" w:type="dxa"/>
            <w:right w:w="10" w:type="dxa"/>
          </w:tblCellMar>
        </w:tblPrEx>
        <w:trPr>
          <w:trHeight w:val="476"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eastAsia="Times New Roman"/>
                <w:sz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基层医疗机构</w:t>
            </w:r>
          </w:p>
        </w:tc>
        <w:tc>
          <w:tcPr>
            <w:tcW w:w="39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其他医疗机构和指定专科医疗机构</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p>
        </w:tc>
      </w:tr>
      <w:tr>
        <w:tblPrEx>
          <w:tblLayout w:type="fixed"/>
          <w:tblCellMar>
            <w:top w:w="0" w:type="dxa"/>
            <w:left w:w="10" w:type="dxa"/>
            <w:bottom w:w="0" w:type="dxa"/>
            <w:right w:w="10" w:type="dxa"/>
          </w:tblCellMar>
        </w:tblPrEx>
        <w:trPr>
          <w:trHeight w:val="1" w:hRule="atLeast"/>
        </w:trPr>
        <w:tc>
          <w:tcPr>
            <w:tcW w:w="213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未成年人</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及在校学生</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80%</w:t>
            </w:r>
          </w:p>
        </w:tc>
        <w:tc>
          <w:tcPr>
            <w:tcW w:w="39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40%（直接就医）</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1000元/人</w:t>
            </w:r>
          </w:p>
        </w:tc>
      </w:tr>
      <w:tr>
        <w:tblPrEx>
          <w:tblLayout w:type="fixed"/>
          <w:tblCellMar>
            <w:top w:w="0" w:type="dxa"/>
            <w:left w:w="10" w:type="dxa"/>
            <w:bottom w:w="0" w:type="dxa"/>
            <w:right w:w="10" w:type="dxa"/>
          </w:tblCellMar>
        </w:tblPrEx>
        <w:trPr>
          <w:trHeight w:val="1" w:hRule="atLeast"/>
        </w:trPr>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p>
        </w:tc>
        <w:tc>
          <w:tcPr>
            <w:tcW w:w="39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50%（经基层医疗机构转诊）</w:t>
            </w: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p>
        </w:tc>
      </w:tr>
      <w:tr>
        <w:tblPrEx>
          <w:tblLayout w:type="fixed"/>
          <w:tblCellMar>
            <w:top w:w="0" w:type="dxa"/>
            <w:left w:w="10" w:type="dxa"/>
            <w:bottom w:w="0" w:type="dxa"/>
            <w:right w:w="10" w:type="dxa"/>
          </w:tblCellMar>
        </w:tblPrEx>
        <w:trPr>
          <w:trHeight w:val="1" w:hRule="atLeast"/>
        </w:trPr>
        <w:tc>
          <w:tcPr>
            <w:tcW w:w="21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其他居民</w:t>
            </w: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w:t>
            </w:r>
          </w:p>
        </w:tc>
        <w:tc>
          <w:tcPr>
            <w:tcW w:w="392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617"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600元/人</w:t>
            </w:r>
          </w:p>
        </w:tc>
      </w:tr>
    </w:tbl>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参保人在实施国家基本药物制度的基层社区医疗机构门诊就医，一般诊疗费由统筹基金按70%比例支付。</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1.普通门诊选点流程</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b/>
          <w:bCs/>
          <w:sz w:val="32"/>
        </w:rPr>
        <w:t>（1）</w:t>
      </w:r>
      <w:r>
        <w:rPr>
          <w:rFonts w:hint="eastAsia" w:ascii="仿宋_GB2312" w:hAnsi="仿宋_GB2312" w:eastAsia="仿宋_GB2312" w:cs="仿宋_GB2312"/>
          <w:b/>
          <w:sz w:val="32"/>
        </w:rPr>
        <w:t>未成年人及中小学生：</w:t>
      </w:r>
      <w:r>
        <w:rPr>
          <w:rFonts w:hint="eastAsia" w:ascii="仿宋_GB2312" w:hAnsi="仿宋_GB2312" w:eastAsia="仿宋_GB2312" w:cs="仿宋_GB2312"/>
          <w:sz w:val="32"/>
        </w:rPr>
        <w:t>应选择1家基层医疗机构（简称</w:t>
      </w:r>
      <w:r>
        <w:rPr>
          <w:rFonts w:hint="eastAsia" w:ascii="仿宋_GB2312" w:hAnsi="仿宋_GB2312" w:eastAsia="仿宋_GB2312" w:cs="仿宋_GB2312"/>
        </w:rPr>
        <w:t xml:space="preserve"> </w:t>
      </w:r>
      <w:r>
        <w:rPr>
          <w:rFonts w:hint="eastAsia" w:ascii="仿宋_GB2312" w:hAnsi="仿宋_GB2312" w:eastAsia="仿宋_GB2312" w:cs="仿宋_GB2312"/>
          <w:sz w:val="32"/>
        </w:rPr>
        <w:t>“小点”）及1家其他医疗机构（简称“大点”）作为其普通门诊就医的选定医疗机构。在指定的专科医疗机构进行相应专科门诊就医不受选点限制。在选择1家“大点”作为普通门诊就医的选定医疗机构前，须先选择1家“小点”作为普通门诊就医的选定医疗机构。</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b/>
          <w:bCs/>
          <w:sz w:val="32"/>
        </w:rPr>
        <w:t>（2）</w:t>
      </w:r>
      <w:r>
        <w:rPr>
          <w:rFonts w:hint="eastAsia" w:ascii="仿宋_GB2312" w:hAnsi="仿宋_GB2312" w:eastAsia="仿宋_GB2312" w:cs="仿宋_GB2312"/>
          <w:b/>
          <w:sz w:val="32"/>
        </w:rPr>
        <w:t>其他城乡居民：</w:t>
      </w:r>
      <w:r>
        <w:rPr>
          <w:rFonts w:hint="eastAsia" w:ascii="仿宋_GB2312" w:hAnsi="仿宋_GB2312" w:eastAsia="仿宋_GB2312" w:cs="仿宋_GB2312"/>
          <w:sz w:val="32"/>
        </w:rPr>
        <w:t>可选择1家“小点”作为其普通门诊就医的选定医疗机构。</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备注：</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由集体经济组织（或村委会）办理参保缴费的城乡居民（含按此种方式参保的未成年人及中小学生），首次参加城乡居民医保后，默认选定其参保缴费所在地的镇村卫生服务一体化基层定点医疗机构为其普通门诊就医的“小点”。其他参保人需自行办理“小点”选点。</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参保人选定镇村卫生服务一体化基层定点医疗机构为其普通门诊就医的“小点”的，还可在此“小点”的城乡居民医保普通门诊医疗服务网点进行普通门诊就医和记账结算。</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2.普通门诊改点流程</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在一个城乡居民医保年度（指每年1月1日到12月31日，下同）内，参保人未在选定的定点医疗机构发生普通门诊记账医疗费用，需变更选定定点医疗机构的，可到将选定的定点医疗机构办理改点并由参保人签字确认。</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在选定的定点医疗机构成功就医结算1次后，在1个城乡居民医保年度内原则上不予变更选定医疗机构。但如参保人确因病情需要、在年度内发生户口迁移、居住地变化、变动工作单位、学籍改变、转学升学或因定点医疗机构资格变化等情形需变更选定定点医疗机构的，可携带相关证明资料到医保二级经办机构办理变更手续并由参保人签字确认。</w:t>
      </w:r>
    </w:p>
    <w:p>
      <w:pPr>
        <w:spacing w:line="52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（二）门诊指定慢性病待遇标准</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目前，广州市社会医疗保险门诊指定慢性病病种有以下20种：</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阿尔茨海默氏病、癫痫、肝硬化、高血压病、冠状动脉粥样硬化性心脏病、类风湿关节炎、慢性肾功能不全（非透析）、慢性肾小球肾炎、慢性心力衰竭（心功能Ⅲ级以上）、慢性阻塞性肺疾病、脑血管病后遗症、帕金森病、强直性脊柱炎、糖尿病、膝关节骨性关节炎、系统性红斑狼疮、心脏瓣膜替换手术后抗凝治疗、炎症性肠病（溃疡性结肠炎、克罗恩病）、支气管哮喘、重性精神疾病（精神分裂症、分裂情感性障碍、偏执性精神病、双相情感障碍、癫痫所致精神障碍、精神发育迟滞）。</w:t>
      </w:r>
    </w:p>
    <w:p>
      <w:pPr>
        <w:spacing w:line="520" w:lineRule="exact"/>
        <w:ind w:firstLine="640"/>
        <w:rPr>
          <w:rFonts w:eastAsia="Times New Roman"/>
          <w:sz w:val="32"/>
        </w:rPr>
      </w:pPr>
      <w:r>
        <w:rPr>
          <w:rFonts w:hint="eastAsia" w:ascii="仿宋_GB2312" w:hAnsi="仿宋_GB2312" w:eastAsia="仿宋_GB2312" w:cs="仿宋_GB2312"/>
          <w:sz w:val="32"/>
        </w:rPr>
        <w:t>参保人患有上述门诊指定慢性病的，须经具备诊断资格的医保定点医疗机构确诊登记后，可在具备治疗资格的定点医疗机构门诊就医，发生的相应专科药品目录范围内的基本医疗药费，统筹基金支付标准如下：</w:t>
      </w:r>
    </w:p>
    <w:tbl>
      <w:tblPr>
        <w:tblStyle w:val="5"/>
        <w:tblW w:w="9691" w:type="dxa"/>
        <w:tblInd w:w="0" w:type="dxa"/>
        <w:tblLayout w:type="fixed"/>
        <w:tblCellMar>
          <w:top w:w="0" w:type="dxa"/>
          <w:left w:w="10" w:type="dxa"/>
          <w:bottom w:w="0" w:type="dxa"/>
          <w:right w:w="10" w:type="dxa"/>
        </w:tblCellMar>
      </w:tblPr>
      <w:tblGrid>
        <w:gridCol w:w="2422"/>
        <w:gridCol w:w="2288"/>
        <w:gridCol w:w="2730"/>
        <w:gridCol w:w="2251"/>
      </w:tblGrid>
      <w:tr>
        <w:tblPrEx>
          <w:tblLayout w:type="fixed"/>
          <w:tblCellMar>
            <w:top w:w="0" w:type="dxa"/>
            <w:left w:w="10" w:type="dxa"/>
            <w:bottom w:w="0" w:type="dxa"/>
            <w:right w:w="10" w:type="dxa"/>
          </w:tblCellMar>
        </w:tblPrEx>
        <w:trPr>
          <w:trHeight w:val="1" w:hRule="atLeast"/>
        </w:trPr>
        <w:tc>
          <w:tcPr>
            <w:tcW w:w="242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定点医疗机构类别</w:t>
            </w:r>
          </w:p>
        </w:tc>
        <w:tc>
          <w:tcPr>
            <w:tcW w:w="228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统筹基金支付比例</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统筹基金最高支付限额</w:t>
            </w:r>
          </w:p>
        </w:tc>
        <w:tc>
          <w:tcPr>
            <w:tcW w:w="225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黑体" w:hAnsi="黑体" w:eastAsia="黑体" w:cs="黑体"/>
                <w:sz w:val="24"/>
              </w:rPr>
            </w:pPr>
            <w:r>
              <w:rPr>
                <w:rFonts w:hint="eastAsia" w:ascii="黑体" w:hAnsi="黑体" w:eastAsia="黑体" w:cs="黑体"/>
                <w:sz w:val="24"/>
              </w:rPr>
              <w:t>备注</w:t>
            </w:r>
          </w:p>
        </w:tc>
      </w:tr>
      <w:tr>
        <w:tblPrEx>
          <w:tblLayout w:type="fixed"/>
          <w:tblCellMar>
            <w:top w:w="0" w:type="dxa"/>
            <w:left w:w="10" w:type="dxa"/>
            <w:bottom w:w="0" w:type="dxa"/>
            <w:right w:w="10" w:type="dxa"/>
          </w:tblCellMar>
        </w:tblPrEx>
        <w:tc>
          <w:tcPr>
            <w:tcW w:w="24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基层医疗机构</w:t>
            </w: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70%</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50元/病种·月，</w:t>
            </w:r>
          </w:p>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不滚存，不累计</w:t>
            </w:r>
          </w:p>
        </w:tc>
        <w:tc>
          <w:tcPr>
            <w:tcW w:w="22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参保人最多可选择其中3个病种享受医保待遇</w:t>
            </w:r>
          </w:p>
        </w:tc>
      </w:tr>
      <w:tr>
        <w:tblPrEx>
          <w:tblLayout w:type="fixed"/>
          <w:tblCellMar>
            <w:top w:w="0" w:type="dxa"/>
            <w:left w:w="10" w:type="dxa"/>
            <w:bottom w:w="0" w:type="dxa"/>
            <w:right w:w="10" w:type="dxa"/>
          </w:tblCellMar>
        </w:tblPrEx>
        <w:tc>
          <w:tcPr>
            <w:tcW w:w="24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其他医疗机构和指定专科医疗机构</w:t>
            </w:r>
          </w:p>
        </w:tc>
        <w:tc>
          <w:tcPr>
            <w:tcW w:w="22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273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eastAsiaTheme="minorEastAsia" w:cstheme="minorEastAsia"/>
                <w:sz w:val="24"/>
              </w:rPr>
            </w:pPr>
          </w:p>
        </w:tc>
      </w:tr>
    </w:tbl>
    <w:p>
      <w:pPr>
        <w:spacing w:line="520" w:lineRule="exact"/>
        <w:ind w:firstLine="643" w:firstLineChars="200"/>
        <w:rPr>
          <w:rFonts w:ascii="楷体_GB2312" w:hAnsi="楷体_GB2312" w:eastAsia="楷体_GB2312" w:cs="楷体_GB2312"/>
          <w:b/>
          <w:sz w:val="32"/>
        </w:rPr>
      </w:pPr>
      <w:r>
        <w:rPr>
          <w:rFonts w:hint="eastAsia" w:ascii="楷体_GB2312" w:hAnsi="楷体_GB2312" w:eastAsia="楷体_GB2312" w:cs="楷体_GB2312"/>
          <w:b/>
          <w:sz w:val="32"/>
        </w:rPr>
        <w:t>（三）门诊特定项目待遇标准</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统筹基金支付门诊特定项目基本医疗费用，应当符合我市社会医疗保险门诊特定项目药品目录及诊疗项目范围。</w:t>
      </w:r>
    </w:p>
    <w:p>
      <w:pPr>
        <w:spacing w:line="520" w:lineRule="exact"/>
        <w:ind w:firstLine="643"/>
        <w:rPr>
          <w:rFonts w:ascii="仿宋_GB2312" w:hAnsi="仿宋_GB2312" w:eastAsia="仿宋_GB2312" w:cs="仿宋_GB2312"/>
          <w:sz w:val="32"/>
        </w:rPr>
      </w:pPr>
      <w:r>
        <w:rPr>
          <w:rFonts w:hint="eastAsia" w:ascii="仿宋_GB2312" w:hAnsi="仿宋_GB2312" w:eastAsia="仿宋_GB2312" w:cs="仿宋_GB2312"/>
          <w:b/>
          <w:sz w:val="32"/>
        </w:rPr>
        <w:t>1．门诊特定项目的类别及登记</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除急诊留观外，其余项目都须经登记，一般情况下，登记业务都在定点医疗机构完成。</w:t>
      </w:r>
    </w:p>
    <w:tbl>
      <w:tblPr>
        <w:tblStyle w:val="5"/>
        <w:tblW w:w="10564" w:type="dxa"/>
        <w:jc w:val="center"/>
        <w:tblInd w:w="0" w:type="dxa"/>
        <w:tblLayout w:type="fixed"/>
        <w:tblCellMar>
          <w:top w:w="0" w:type="dxa"/>
          <w:left w:w="10" w:type="dxa"/>
          <w:bottom w:w="0" w:type="dxa"/>
          <w:right w:w="10" w:type="dxa"/>
        </w:tblCellMar>
      </w:tblPr>
      <w:tblGrid>
        <w:gridCol w:w="3964"/>
        <w:gridCol w:w="2631"/>
        <w:gridCol w:w="2410"/>
        <w:gridCol w:w="1559"/>
      </w:tblGrid>
      <w:tr>
        <w:tblPrEx>
          <w:tblLayout w:type="fixed"/>
          <w:tblCellMar>
            <w:top w:w="0" w:type="dxa"/>
            <w:left w:w="10" w:type="dxa"/>
            <w:bottom w:w="0" w:type="dxa"/>
            <w:right w:w="10" w:type="dxa"/>
          </w:tblCellMar>
        </w:tblPrEx>
        <w:trPr>
          <w:jc w:val="center"/>
        </w:trPr>
        <w:tc>
          <w:tcPr>
            <w:tcW w:w="396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pPr>
            <w:r>
              <w:rPr>
                <w:rFonts w:ascii="黑体" w:hAnsi="黑体" w:eastAsia="黑体" w:cs="黑体"/>
                <w:sz w:val="24"/>
              </w:rPr>
              <w:t>项目类别</w:t>
            </w:r>
          </w:p>
        </w:tc>
        <w:tc>
          <w:tcPr>
            <w:tcW w:w="263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pPr>
            <w:r>
              <w:rPr>
                <w:rFonts w:ascii="黑体" w:hAnsi="黑体" w:eastAsia="黑体" w:cs="黑体"/>
                <w:sz w:val="24"/>
              </w:rPr>
              <w:t>就医地点</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pPr>
            <w:r>
              <w:rPr>
                <w:rFonts w:ascii="黑体" w:hAnsi="黑体" w:eastAsia="黑体" w:cs="黑体"/>
                <w:sz w:val="24"/>
              </w:rPr>
              <w:t>确诊与登记</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pPr>
            <w:r>
              <w:rPr>
                <w:rFonts w:ascii="黑体" w:hAnsi="黑体" w:eastAsia="黑体" w:cs="黑体"/>
                <w:sz w:val="24"/>
              </w:rPr>
              <w:t>登记有效期</w:t>
            </w:r>
          </w:p>
        </w:tc>
      </w:tr>
      <w:tr>
        <w:tblPrEx>
          <w:tblLayout w:type="fixed"/>
          <w:tblCellMar>
            <w:top w:w="0" w:type="dxa"/>
            <w:left w:w="10" w:type="dxa"/>
            <w:bottom w:w="0" w:type="dxa"/>
            <w:right w:w="10" w:type="dxa"/>
          </w:tblCellMar>
        </w:tblPrEx>
        <w:trPr>
          <w:jc w:val="center"/>
        </w:trPr>
        <w:tc>
          <w:tcPr>
            <w:tcW w:w="396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尿毒症透析</w:t>
            </w:r>
          </w:p>
        </w:tc>
        <w:tc>
          <w:tcPr>
            <w:tcW w:w="2631" w:type="dxa"/>
            <w:tcBorders>
              <w:top w:val="single" w:color="000000" w:sz="4"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vMerge w:val="restart"/>
            <w:tcBorders>
              <w:top w:val="single" w:color="000000" w:sz="4" w:space="0"/>
              <w:left w:val="single" w:color="000000" w:sz="0"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须经指定定点医疗机构确诊并审核确认</w:t>
            </w:r>
          </w:p>
        </w:tc>
        <w:tc>
          <w:tcPr>
            <w:tcW w:w="1559" w:type="dxa"/>
            <w:tcBorders>
              <w:top w:val="single" w:color="000000" w:sz="4"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恶性肿瘤化疗（含生物靶向药物治疗）、放疗及期间的辅助治疗</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二、三级定点医疗机构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肾脏、肝脏、心脏、肺脏、骨髓移植术后抗排异治疗</w:t>
            </w:r>
          </w:p>
        </w:tc>
        <w:tc>
          <w:tcPr>
            <w:tcW w:w="2631" w:type="dxa"/>
            <w:vMerge w:val="restart"/>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血友病治疗</w:t>
            </w:r>
          </w:p>
        </w:tc>
        <w:tc>
          <w:tcPr>
            <w:tcW w:w="2631" w:type="dxa"/>
            <w:vMerge w:val="continue"/>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终身有效</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慢性再生障碍性贫血治疗</w:t>
            </w:r>
          </w:p>
        </w:tc>
        <w:tc>
          <w:tcPr>
            <w:tcW w:w="2631" w:type="dxa"/>
            <w:vMerge w:val="restart"/>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二、三级定点医疗机构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重型β地中海贫血治疗</w:t>
            </w:r>
          </w:p>
        </w:tc>
        <w:tc>
          <w:tcPr>
            <w:tcW w:w="2631" w:type="dxa"/>
            <w:vMerge w:val="continue"/>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慢性丙型肝炎治疗</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累计18个月</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慢性乙型肝炎治疗</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二、三级定点医疗机构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小儿脑性瘫痪治疗</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二、三级定点医疗机构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耐多药肺结核治疗</w:t>
            </w:r>
          </w:p>
        </w:tc>
        <w:tc>
          <w:tcPr>
            <w:tcW w:w="2631" w:type="dxa"/>
            <w:vMerge w:val="restart"/>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艾滋病病毒感染治疗</w:t>
            </w:r>
          </w:p>
        </w:tc>
        <w:tc>
          <w:tcPr>
            <w:tcW w:w="2631" w:type="dxa"/>
            <w:vMerge w:val="continue"/>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多发性硬化症门诊治疗</w:t>
            </w:r>
          </w:p>
        </w:tc>
        <w:tc>
          <w:tcPr>
            <w:tcW w:w="2631" w:type="dxa"/>
            <w:vMerge w:val="restart"/>
            <w:tcBorders>
              <w:top w:val="single" w:color="000000" w:sz="0" w:space="0"/>
              <w:left w:val="single" w:color="000000" w:sz="0" w:space="0"/>
              <w:bottom w:val="single" w:color="000000" w:sz="0"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vMerge w:val="continue"/>
            <w:tcBorders>
              <w:left w:val="single" w:color="000000" w:sz="0"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湿性年龄相关性黄斑变性门诊治疗</w:t>
            </w:r>
          </w:p>
        </w:tc>
        <w:tc>
          <w:tcPr>
            <w:tcW w:w="2631" w:type="dxa"/>
            <w:vMerge w:val="continue"/>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520" w:lineRule="auto"/>
              <w:jc w:val="center"/>
              <w:rPr>
                <w:rFonts w:asciiTheme="minorEastAsia" w:hAnsiTheme="minorEastAsia" w:eastAsiaTheme="minorEastAsia" w:cstheme="minorEastAsia"/>
                <w:sz w:val="22"/>
              </w:rPr>
            </w:pPr>
          </w:p>
        </w:tc>
        <w:tc>
          <w:tcPr>
            <w:tcW w:w="2410" w:type="dxa"/>
            <w:vMerge w:val="continue"/>
            <w:tcBorders>
              <w:left w:val="single" w:color="000000" w:sz="0" w:space="0"/>
              <w:bottom w:val="single" w:color="000000" w:sz="4" w:space="0"/>
              <w:right w:val="single" w:color="000000" w:sz="4" w:space="0"/>
            </w:tcBorders>
            <w:shd w:val="clear" w:color="auto" w:fill="FFFFFF"/>
            <w:tcMar>
              <w:left w:w="108" w:type="dxa"/>
              <w:right w:w="108" w:type="dxa"/>
            </w:tcMar>
            <w:vAlign w:val="center"/>
          </w:tcPr>
          <w:p>
            <w:pPr>
              <w:jc w:val="center"/>
              <w:rPr>
                <w:rFonts w:asciiTheme="minorEastAsia" w:hAnsiTheme="minorEastAsia" w:eastAsiaTheme="minorEastAsia" w:cstheme="minorEastAsia"/>
                <w:sz w:val="22"/>
              </w:rPr>
            </w:pP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一年</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急诊留院观察</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二、三级定点医疗机构</w:t>
            </w:r>
          </w:p>
        </w:tc>
        <w:tc>
          <w:tcPr>
            <w:tcW w:w="2410" w:type="dxa"/>
            <w:tcBorders>
              <w:top w:val="single" w:color="000000" w:sz="4"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无需指定医疗机构确诊并审核确认</w:t>
            </w: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jc w:val="center"/>
        </w:trPr>
        <w:tc>
          <w:tcPr>
            <w:tcW w:w="3964" w:type="dxa"/>
            <w:tcBorders>
              <w:top w:val="single" w:color="000000" w:sz="0"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家庭病床</w:t>
            </w:r>
          </w:p>
        </w:tc>
        <w:tc>
          <w:tcPr>
            <w:tcW w:w="2631"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指定的定点医疗机构</w:t>
            </w:r>
          </w:p>
        </w:tc>
        <w:tc>
          <w:tcPr>
            <w:tcW w:w="2410"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在可开展相应项目的指定定点医疗</w:t>
            </w:r>
          </w:p>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机构办理</w:t>
            </w:r>
          </w:p>
        </w:tc>
        <w:tc>
          <w:tcPr>
            <w:tcW w:w="1559" w:type="dxa"/>
            <w:tcBorders>
              <w:top w:val="single" w:color="000000" w:sz="0" w:space="0"/>
              <w:left w:val="single" w:color="000000" w:sz="0"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90天</w:t>
            </w:r>
          </w:p>
        </w:tc>
      </w:tr>
    </w:tbl>
    <w:p>
      <w:pPr>
        <w:spacing w:line="52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*未经指定定点医疗机构确诊并审核确认的门诊特定项目医疗费用，与所确诊的门诊特定项目不相关的医疗费用，以及在非选定医院就医发生的门诊特定项目基本医疗费用，统筹基金不予支付。</w:t>
      </w:r>
    </w:p>
    <w:p>
      <w:pPr>
        <w:spacing w:line="520" w:lineRule="exact"/>
        <w:ind w:firstLine="640"/>
        <w:rPr>
          <w:rFonts w:ascii="仿宋_GB2312" w:hAnsi="仿宋_GB2312" w:eastAsia="仿宋_GB2312" w:cs="仿宋_GB2312"/>
          <w:sz w:val="32"/>
        </w:rPr>
      </w:pPr>
      <w:r>
        <w:rPr>
          <w:rFonts w:hint="eastAsia" w:ascii="仿宋_GB2312" w:hAnsi="仿宋_GB2312" w:eastAsia="仿宋_GB2312" w:cs="仿宋_GB2312"/>
          <w:sz w:val="32"/>
        </w:rPr>
        <w:t>*经确认的参保病人须在指定定点医疗机构中选定1家作为本人相应门诊特定项目治疗的选定医院。选定医院一经确定，原则上一个年度内不得变更。但参保病人确因病情需要、在年度内发生户口迁移、居住地变化、变动工作单位或因定点医疗机构资格变化等情形需要变更选定医院的，可到医保经办机构办理变更手续。</w:t>
      </w:r>
    </w:p>
    <w:p>
      <w:pPr>
        <w:spacing w:line="520" w:lineRule="exact"/>
        <w:ind w:firstLine="643"/>
        <w:rPr>
          <w:rFonts w:ascii="仿宋_GB2312" w:hAnsi="仿宋_GB2312" w:eastAsia="仿宋_GB2312" w:cs="仿宋_GB2312"/>
          <w:b/>
          <w:sz w:val="32"/>
        </w:rPr>
      </w:pPr>
      <w:r>
        <w:rPr>
          <w:rFonts w:hint="eastAsia" w:ascii="仿宋_GB2312" w:hAnsi="仿宋_GB2312" w:eastAsia="仿宋_GB2312" w:cs="仿宋_GB2312"/>
          <w:b/>
          <w:sz w:val="32"/>
        </w:rPr>
        <w:t>2. 门诊特定项目待遇标准</w:t>
      </w:r>
    </w:p>
    <w:p>
      <w:pPr>
        <w:spacing w:line="520" w:lineRule="exact"/>
        <w:ind w:firstLine="640"/>
        <w:rPr>
          <w:rFonts w:eastAsia="Times New Roman"/>
          <w:sz w:val="32"/>
        </w:rPr>
      </w:pPr>
      <w:r>
        <w:rPr>
          <w:rFonts w:hint="eastAsia" w:ascii="仿宋_GB2312" w:hAnsi="仿宋_GB2312" w:eastAsia="仿宋_GB2312" w:cs="仿宋_GB2312"/>
          <w:sz w:val="32"/>
        </w:rPr>
        <w:t>家庭病床按一级定点医疗机构住院的支付比例，其余门诊特定项目的统筹基金支付比例与对应级别的住院支付比例一致。</w:t>
      </w:r>
    </w:p>
    <w:tbl>
      <w:tblPr>
        <w:tblStyle w:val="5"/>
        <w:tblW w:w="8863" w:type="dxa"/>
        <w:jc w:val="center"/>
        <w:tblInd w:w="-295" w:type="dxa"/>
        <w:tblLayout w:type="fixed"/>
        <w:tblCellMar>
          <w:top w:w="0" w:type="dxa"/>
          <w:left w:w="10" w:type="dxa"/>
          <w:bottom w:w="0" w:type="dxa"/>
          <w:right w:w="10" w:type="dxa"/>
        </w:tblCellMar>
      </w:tblPr>
      <w:tblGrid>
        <w:gridCol w:w="3823"/>
        <w:gridCol w:w="2340"/>
        <w:gridCol w:w="2700"/>
      </w:tblGrid>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黑体" w:hAnsi="黑体" w:eastAsia="黑体" w:cs="黑体"/>
              </w:rPr>
            </w:pPr>
            <w:r>
              <w:rPr>
                <w:rFonts w:hint="eastAsia" w:ascii="黑体" w:hAnsi="黑体" w:eastAsia="黑体" w:cs="黑体"/>
                <w:sz w:val="24"/>
              </w:rPr>
              <w:t>项目类别</w:t>
            </w:r>
          </w:p>
        </w:tc>
        <w:tc>
          <w:tcPr>
            <w:tcW w:w="234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黑体" w:hAnsi="黑体" w:eastAsia="黑体" w:cs="黑体"/>
              </w:rPr>
            </w:pPr>
            <w:r>
              <w:rPr>
                <w:rFonts w:hint="eastAsia" w:ascii="黑体" w:hAnsi="黑体" w:eastAsia="黑体" w:cs="黑体"/>
                <w:sz w:val="24"/>
              </w:rPr>
              <w:t>起付标准</w:t>
            </w: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黑体" w:hAnsi="黑体" w:eastAsia="黑体" w:cs="黑体"/>
              </w:rPr>
            </w:pPr>
            <w:r>
              <w:rPr>
                <w:rFonts w:hint="eastAsia" w:ascii="黑体" w:hAnsi="黑体" w:eastAsia="黑体" w:cs="黑体"/>
                <w:sz w:val="24"/>
              </w:rPr>
              <w:t>支付限额</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尿毒症透析</w:t>
            </w:r>
          </w:p>
        </w:tc>
        <w:tc>
          <w:tcPr>
            <w:tcW w:w="2340" w:type="dxa"/>
            <w:vMerge w:val="restart"/>
            <w:tcBorders>
              <w:top w:val="single" w:color="000000" w:sz="8"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无</w:t>
            </w: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恶性肿瘤化疗（含生物靶向药物治疗）、放疗及期间的辅助治疗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肾脏、肝脏、心脏、肺脏、骨髓移植术后抗排异治疗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6000元/月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血友病治疗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慢性再生障碍性贫血治疗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6000元/月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重型β地中海贫血治疗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3000元/月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慢性丙型肝炎治疗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3500元/月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慢性乙型肝炎治疗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420元/月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小儿脑性瘫痪治疗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560元/月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耐多药肺结核治疗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560元/月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艾滋病病毒感染治疗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vAlign w:val="cente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560元/月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多发性硬化症门诊治疗</w:t>
            </w:r>
          </w:p>
        </w:tc>
        <w:tc>
          <w:tcPr>
            <w:tcW w:w="2340" w:type="dxa"/>
            <w:vMerge w:val="continue"/>
            <w:tcBorders>
              <w:top w:val="single" w:color="000000" w:sz="0" w:space="0"/>
              <w:left w:val="single" w:color="000000" w:sz="8" w:space="0"/>
              <w:bottom w:val="single" w:color="000000" w:sz="0" w:space="0"/>
              <w:right w:val="single" w:color="000000" w:sz="8" w:space="0"/>
            </w:tcBorders>
            <w:shd w:val="clear" w:color="000000" w:fill="FFFFFF"/>
            <w:tcMar>
              <w:left w:w="108" w:type="dxa"/>
              <w:right w:w="108" w:type="dxa"/>
            </w:tcMa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5500元/月</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湿性年龄相关性黄斑变性门诊治疗</w:t>
            </w:r>
          </w:p>
        </w:tc>
        <w:tc>
          <w:tcPr>
            <w:tcW w:w="2340" w:type="dxa"/>
            <w:vMerge w:val="continue"/>
            <w:tcBorders>
              <w:top w:val="single" w:color="000000" w:sz="0" w:space="0"/>
              <w:left w:val="single" w:color="000000" w:sz="8" w:space="0"/>
              <w:bottom w:val="single" w:color="000000" w:sz="8" w:space="0"/>
              <w:right w:val="single" w:color="000000" w:sz="8" w:space="0"/>
            </w:tcBorders>
            <w:shd w:val="clear" w:color="000000" w:fill="FFFFFF"/>
            <w:tcMar>
              <w:left w:w="108" w:type="dxa"/>
              <w:right w:w="108" w:type="dxa"/>
            </w:tcMar>
          </w:tcPr>
          <w:p>
            <w:pPr>
              <w:spacing w:line="520" w:lineRule="auto"/>
              <w:rPr>
                <w:rFonts w:asciiTheme="minorEastAsia" w:hAnsiTheme="minorEastAsia" w:eastAsiaTheme="minorEastAsia" w:cstheme="minorEastAsia"/>
                <w:sz w:val="22"/>
              </w:rPr>
            </w:pP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14500元/年</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家庭病床</w:t>
            </w:r>
          </w:p>
        </w:tc>
        <w:tc>
          <w:tcPr>
            <w:tcW w:w="234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150元/期</w:t>
            </w: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jc w:val="center"/>
        </w:trPr>
        <w:tc>
          <w:tcPr>
            <w:tcW w:w="3823"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急诊留院观察</w:t>
            </w:r>
          </w:p>
        </w:tc>
        <w:tc>
          <w:tcPr>
            <w:tcW w:w="234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500元/次·年度</w:t>
            </w:r>
          </w:p>
        </w:tc>
        <w:tc>
          <w:tcPr>
            <w:tcW w:w="2700" w:type="dxa"/>
            <w:tcBorders>
              <w:top w:val="single" w:color="000000" w:sz="8" w:space="0"/>
              <w:left w:val="single" w:color="000000" w:sz="8" w:space="0"/>
              <w:bottom w:val="single" w:color="000000" w:sz="8" w:space="0"/>
              <w:right w:val="single" w:color="000000" w:sz="8" w:space="0"/>
            </w:tcBorders>
            <w:shd w:val="clear" w:color="000000" w:fill="FFFFFF"/>
            <w:tcMar>
              <w:left w:w="108" w:type="dxa"/>
              <w:right w:w="108" w:type="dxa"/>
            </w:tcMar>
            <w:vAlign w:val="center"/>
          </w:tcPr>
          <w:p>
            <w:pPr>
              <w:tabs>
                <w:tab w:val="left" w:pos="948"/>
              </w:tabs>
              <w:spacing w:line="32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w:t>
            </w:r>
          </w:p>
        </w:tc>
      </w:tr>
    </w:tbl>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*最高支付限额以上费用统筹基金不予支付。</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*急诊留观直接转入本院住院治疗的，急诊留观的医疗费用并入住院费用一并结算。</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*家庭病床起付标准每90日计算一次。家庭病床治疗期间转住院的，从住院之日起原家庭病床有效期即终止。</w:t>
      </w:r>
    </w:p>
    <w:p>
      <w:pPr>
        <w:spacing w:line="500" w:lineRule="exact"/>
        <w:ind w:firstLine="643"/>
        <w:rPr>
          <w:rFonts w:ascii="楷体_GB2312" w:hAnsi="楷体_GB2312" w:eastAsia="楷体_GB2312" w:cs="楷体_GB2312"/>
          <w:sz w:val="32"/>
        </w:rPr>
      </w:pPr>
      <w:r>
        <w:rPr>
          <w:rFonts w:hint="eastAsia" w:ascii="楷体_GB2312" w:hAnsi="楷体_GB2312" w:eastAsia="楷体_GB2312" w:cs="楷体_GB2312"/>
          <w:b/>
          <w:sz w:val="32"/>
        </w:rPr>
        <w:t>（四）门诊诊查费待遇标准</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按社会保险相关就医管理规定在指定定点公立医疗机构（名单公布于广州市人力资源和社会保障局官方网站）门诊就医时，每诊次发生的“门诊诊查费”（包括普通门诊诊查费、急诊诊查费、专家门诊诊查费）纳入社会保险基金支付范围，支付限额标准为每人每诊次最高7元，不足7元按实际发生金额支付，超出部分社会保险基金不予支付。“门诊诊查费”不纳入参保人员的普通门诊、门诊指定慢性病、门诊特定项目、城乡居民产前门诊检查、门诊接种狂犬病疫苗相应待遇限额计算。</w:t>
      </w:r>
    </w:p>
    <w:p>
      <w:pPr>
        <w:spacing w:line="5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（五）门诊接种狂犬疫苗待遇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门诊接种狂犬疫苗，统筹基金按参保人相应的住院基本医疗费用支付比例支付，不设起付标准，每人每年最高支付200元。</w:t>
      </w:r>
    </w:p>
    <w:p>
      <w:pPr>
        <w:spacing w:line="5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（六）产前门诊检查待遇标准</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在符合生育政策规定的生育期内，可在我市生育保险定点医疗机构中选定1家进行产前门诊检查。统筹基金支付产前门诊检查的具体项目，参照本市生育保险规定的诊疗项目执行，不分甲、乙类，统筹基金按50%标准支付，统筹基金支付限额为每人每孕次300元。</w:t>
      </w:r>
    </w:p>
    <w:p>
      <w:pPr>
        <w:spacing w:line="500" w:lineRule="exact"/>
        <w:rPr>
          <w:rFonts w:eastAsia="Times New Roman"/>
          <w:b/>
          <w:sz w:val="32"/>
        </w:rPr>
      </w:pPr>
      <w:r>
        <w:rPr>
          <w:rFonts w:eastAsia="Times New Roman"/>
          <w:sz w:val="32"/>
        </w:rPr>
        <w:t xml:space="preserve">   </w:t>
      </w:r>
      <w:r>
        <w:rPr>
          <w:rFonts w:hint="eastAsia"/>
          <w:sz w:val="32"/>
        </w:rPr>
        <w:t xml:space="preserve">   </w:t>
      </w:r>
      <w:r>
        <w:rPr>
          <w:rFonts w:hint="eastAsia" w:ascii="楷体_GB2312" w:hAnsi="楷体_GB2312" w:eastAsia="楷体_GB2312" w:cs="楷体_GB2312"/>
          <w:b/>
          <w:sz w:val="32"/>
        </w:rPr>
        <w:t>（七）住院待遇标准</w:t>
      </w:r>
    </w:p>
    <w:p>
      <w:pPr>
        <w:spacing w:line="500" w:lineRule="exact"/>
        <w:ind w:firstLine="643"/>
        <w:rPr>
          <w:rFonts w:ascii="仿宋_GB2312" w:hAnsi="仿宋_GB2312" w:eastAsia="仿宋_GB2312" w:cs="仿宋_GB2312"/>
          <w:sz w:val="32"/>
        </w:rPr>
      </w:pPr>
      <w:r>
        <w:rPr>
          <w:rFonts w:hint="eastAsia" w:ascii="仿宋_GB2312" w:hAnsi="仿宋_GB2312" w:eastAsia="仿宋_GB2312" w:cs="仿宋_GB2312"/>
          <w:b/>
          <w:sz w:val="32"/>
        </w:rPr>
        <w:t>1．住院医疗费用中，个人应负担费用：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自费费用。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医保药品、诊疗项目、医保服务设施三个目录范围内，规定由参保人员先自付部分比例以及超限额标准的费用。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超出住院检验检查费限额部分的费用。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起付标准及以下费用。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共付段自付费用。</w:t>
      </w:r>
    </w:p>
    <w:p>
      <w:pPr>
        <w:spacing w:line="500" w:lineRule="exact"/>
        <w:ind w:firstLine="640"/>
        <w:rPr>
          <w:rFonts w:ascii="仿宋_GB2312" w:hAnsi="仿宋_GB2312" w:eastAsia="仿宋_GB2312" w:cs="仿宋_GB2312"/>
          <w:sz w:val="32"/>
        </w:rPr>
      </w:pPr>
      <w:r>
        <w:rPr>
          <w:rFonts w:eastAsia="仿宋_GB2312"/>
          <w:color w:val="000000"/>
          <w:sz w:val="32"/>
          <w:szCs w:val="32"/>
        </w:rPr>
        <w:t>●</w:t>
      </w:r>
      <w:r>
        <w:rPr>
          <w:rFonts w:hint="eastAsia" w:ascii="仿宋_GB2312" w:hAnsi="仿宋_GB2312" w:eastAsia="仿宋_GB2312" w:cs="仿宋_GB2312"/>
          <w:sz w:val="32"/>
        </w:rPr>
        <w:t>统筹基金年度累计最高支付限额以上的费用。</w:t>
      </w:r>
    </w:p>
    <w:p>
      <w:pPr>
        <w:spacing w:line="500" w:lineRule="exact"/>
        <w:ind w:firstLine="640"/>
        <w:jc w:val="left"/>
        <w:rPr>
          <w:rFonts w:ascii="仿宋_GB2312" w:hAnsi="仿宋_GB2312" w:eastAsia="仿宋_GB2312" w:cs="仿宋_GB2312"/>
          <w:b/>
          <w:sz w:val="32"/>
        </w:rPr>
      </w:pPr>
      <w:r>
        <w:rPr>
          <w:rFonts w:hint="eastAsia" w:ascii="仿宋_GB2312" w:hAnsi="仿宋_GB2312" w:eastAsia="仿宋_GB2312" w:cs="仿宋_GB2312"/>
          <w:sz w:val="32"/>
        </w:rPr>
        <w:t>2.参保人每次住院基本医疗费用统筹基金的起付标准、共付段统筹基金支付比例为：</w:t>
      </w:r>
    </w:p>
    <w:tbl>
      <w:tblPr>
        <w:tblStyle w:val="5"/>
        <w:tblW w:w="8522" w:type="dxa"/>
        <w:tblInd w:w="0" w:type="dxa"/>
        <w:tblLayout w:type="fixed"/>
        <w:tblCellMar>
          <w:top w:w="0" w:type="dxa"/>
          <w:left w:w="10" w:type="dxa"/>
          <w:bottom w:w="0" w:type="dxa"/>
          <w:right w:w="10" w:type="dxa"/>
        </w:tblCellMar>
      </w:tblPr>
      <w:tblGrid>
        <w:gridCol w:w="1420"/>
        <w:gridCol w:w="1420"/>
        <w:gridCol w:w="2655"/>
        <w:gridCol w:w="1606"/>
        <w:gridCol w:w="1421"/>
      </w:tblGrid>
      <w:tr>
        <w:tblPrEx>
          <w:tblLayout w:type="fixed"/>
          <w:tblCellMar>
            <w:top w:w="0" w:type="dxa"/>
            <w:left w:w="10" w:type="dxa"/>
            <w:bottom w:w="0" w:type="dxa"/>
            <w:right w:w="10" w:type="dxa"/>
          </w:tblCellMar>
        </w:tblPrEx>
        <w:trPr>
          <w:trHeight w:val="1"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人员类别</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医院级别</w:t>
            </w:r>
          </w:p>
        </w:tc>
        <w:tc>
          <w:tcPr>
            <w:tcW w:w="265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起付标准</w:t>
            </w:r>
          </w:p>
        </w:tc>
        <w:tc>
          <w:tcPr>
            <w:tcW w:w="302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共付段统筹基金支付比例</w:t>
            </w:r>
          </w:p>
        </w:tc>
      </w:tr>
      <w:tr>
        <w:tblPrEx>
          <w:tblLayout w:type="fixed"/>
          <w:tblCellMar>
            <w:top w:w="0" w:type="dxa"/>
            <w:left w:w="10" w:type="dxa"/>
            <w:bottom w:w="0" w:type="dxa"/>
            <w:right w:w="10" w:type="dxa"/>
          </w:tblCellMar>
        </w:tblPrEx>
        <w:trPr>
          <w:trHeight w:val="1"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265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2018年</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2019年</w:t>
            </w:r>
          </w:p>
        </w:tc>
      </w:tr>
      <w:tr>
        <w:tblPrEx>
          <w:tblLayout w:type="fixed"/>
          <w:tblCellMar>
            <w:top w:w="0" w:type="dxa"/>
            <w:left w:w="10" w:type="dxa"/>
            <w:bottom w:w="0" w:type="dxa"/>
            <w:right w:w="10" w:type="dxa"/>
          </w:tblCellMar>
        </w:tblPrEx>
        <w:trPr>
          <w:trHeight w:val="1"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未成年人及中小学生</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一级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150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90%</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90%</w:t>
            </w:r>
          </w:p>
        </w:tc>
      </w:tr>
      <w:tr>
        <w:tblPrEx>
          <w:tblLayout w:type="fixed"/>
          <w:tblCellMar>
            <w:top w:w="0" w:type="dxa"/>
            <w:left w:w="10" w:type="dxa"/>
            <w:bottom w:w="0" w:type="dxa"/>
            <w:right w:w="10" w:type="dxa"/>
          </w:tblCellMar>
        </w:tblPrEx>
        <w:trPr>
          <w:trHeight w:val="1"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二级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300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85%</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85%</w:t>
            </w:r>
          </w:p>
        </w:tc>
      </w:tr>
      <w:tr>
        <w:tblPrEx>
          <w:tblLayout w:type="fixed"/>
          <w:tblCellMar>
            <w:top w:w="0" w:type="dxa"/>
            <w:left w:w="10" w:type="dxa"/>
            <w:bottom w:w="0" w:type="dxa"/>
            <w:right w:w="10" w:type="dxa"/>
          </w:tblCellMar>
        </w:tblPrEx>
        <w:trPr>
          <w:trHeight w:val="1"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三级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500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70%</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80%</w:t>
            </w:r>
          </w:p>
        </w:tc>
      </w:tr>
      <w:tr>
        <w:tblPrEx>
          <w:tblLayout w:type="fixed"/>
          <w:tblCellMar>
            <w:top w:w="0" w:type="dxa"/>
            <w:left w:w="10" w:type="dxa"/>
            <w:bottom w:w="0" w:type="dxa"/>
            <w:right w:w="10" w:type="dxa"/>
          </w:tblCellMar>
        </w:tblPrEx>
        <w:trPr>
          <w:trHeight w:val="1"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黑体" w:hAnsi="黑体" w:eastAsia="黑体" w:cs="黑体"/>
                <w:sz w:val="24"/>
              </w:rPr>
              <w:t>其他居民</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一级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150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90%</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90%</w:t>
            </w:r>
          </w:p>
        </w:tc>
      </w:tr>
      <w:tr>
        <w:tblPrEx>
          <w:tblLayout w:type="fixed"/>
          <w:tblCellMar>
            <w:top w:w="0" w:type="dxa"/>
            <w:left w:w="10" w:type="dxa"/>
            <w:bottom w:w="0" w:type="dxa"/>
            <w:right w:w="10" w:type="dxa"/>
          </w:tblCellMar>
        </w:tblPrEx>
        <w:trPr>
          <w:trHeight w:val="1"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二级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300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80%</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80%</w:t>
            </w:r>
          </w:p>
        </w:tc>
      </w:tr>
      <w:tr>
        <w:tblPrEx>
          <w:tblLayout w:type="fixed"/>
          <w:tblCellMar>
            <w:top w:w="0" w:type="dxa"/>
            <w:left w:w="10" w:type="dxa"/>
            <w:bottom w:w="0" w:type="dxa"/>
            <w:right w:w="10" w:type="dxa"/>
          </w:tblCellMar>
        </w:tblPrEx>
        <w:trPr>
          <w:trHeight w:val="1"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20" w:lineRule="auto"/>
              <w:rPr>
                <w:rFonts w:ascii="宋体" w:hAnsi="宋体" w:cs="宋体"/>
                <w:sz w:val="22"/>
              </w:rPr>
            </w:pP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rPr>
                <w:rFonts w:ascii="宋体" w:hAnsi="宋体" w:cs="宋体"/>
              </w:rPr>
            </w:pPr>
            <w:r>
              <w:rPr>
                <w:rFonts w:ascii="宋体" w:hAnsi="宋体" w:cs="宋体"/>
                <w:sz w:val="24"/>
              </w:rPr>
              <w:t>三级</w:t>
            </w:r>
          </w:p>
        </w:tc>
        <w:tc>
          <w:tcPr>
            <w:tcW w:w="2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500</w:t>
            </w:r>
            <w:r>
              <w:rPr>
                <w:rFonts w:ascii="宋体" w:hAnsi="宋体" w:cs="宋体"/>
                <w:sz w:val="24"/>
              </w:rPr>
              <w:t>元</w:t>
            </w:r>
          </w:p>
        </w:tc>
        <w:tc>
          <w:tcPr>
            <w:tcW w:w="16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60%</w:t>
            </w:r>
          </w:p>
        </w:tc>
        <w:tc>
          <w:tcPr>
            <w:tcW w:w="1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jc w:val="center"/>
            </w:pPr>
            <w:r>
              <w:rPr>
                <w:rFonts w:eastAsia="Times New Roman"/>
                <w:sz w:val="24"/>
              </w:rPr>
              <w:t>70%</w:t>
            </w:r>
          </w:p>
        </w:tc>
      </w:tr>
    </w:tbl>
    <w:p>
      <w:pPr>
        <w:ind w:firstLine="643" w:firstLineChars="200"/>
        <w:rPr>
          <w:rFonts w:ascii="仿宋_GB2312" w:hAnsi="仿宋_GB2312" w:eastAsia="仿宋_GB2312" w:cs="仿宋_GB2312"/>
          <w:b/>
          <w:sz w:val="32"/>
        </w:rPr>
      </w:pPr>
      <w:r>
        <w:rPr>
          <w:rFonts w:hint="eastAsia" w:ascii="仿宋_GB2312" w:hAnsi="仿宋_GB2312" w:eastAsia="仿宋_GB2312" w:cs="仿宋_GB2312"/>
          <w:b/>
          <w:sz w:val="32"/>
        </w:rPr>
        <w:t>3．住院床位费每床日结算标准</w:t>
      </w:r>
    </w:p>
    <w:tbl>
      <w:tblPr>
        <w:tblStyle w:val="5"/>
        <w:tblW w:w="9224" w:type="dxa"/>
        <w:tblInd w:w="-442" w:type="dxa"/>
        <w:tblLayout w:type="fixed"/>
        <w:tblCellMar>
          <w:top w:w="0" w:type="dxa"/>
          <w:left w:w="10" w:type="dxa"/>
          <w:bottom w:w="0" w:type="dxa"/>
          <w:right w:w="10" w:type="dxa"/>
        </w:tblCellMar>
      </w:tblPr>
      <w:tblGrid>
        <w:gridCol w:w="2235"/>
        <w:gridCol w:w="1552"/>
        <w:gridCol w:w="1812"/>
        <w:gridCol w:w="1812"/>
        <w:gridCol w:w="1813"/>
      </w:tblGrid>
      <w:tr>
        <w:tblPrEx>
          <w:tblLayout w:type="fixed"/>
          <w:tblCellMar>
            <w:top w:w="0" w:type="dxa"/>
            <w:left w:w="10" w:type="dxa"/>
            <w:bottom w:w="0" w:type="dxa"/>
            <w:right w:w="10" w:type="dxa"/>
          </w:tblCellMar>
        </w:tblPrEx>
        <w:trPr>
          <w:trHeight w:val="454" w:hRule="exact"/>
        </w:trPr>
        <w:tc>
          <w:tcPr>
            <w:tcW w:w="22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黑体" w:hAnsi="黑体" w:eastAsia="黑体" w:cs="黑体"/>
              </w:rPr>
            </w:pPr>
            <w:r>
              <w:rPr>
                <w:rFonts w:hint="eastAsia" w:ascii="黑体" w:hAnsi="黑体" w:eastAsia="黑体" w:cs="黑体"/>
                <w:sz w:val="24"/>
              </w:rPr>
              <w:t>定点医疗机构等级</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黑体" w:hAnsi="黑体" w:eastAsia="黑体" w:cs="黑体"/>
              </w:rPr>
            </w:pPr>
            <w:r>
              <w:rPr>
                <w:rFonts w:hint="eastAsia" w:ascii="黑体" w:hAnsi="黑体" w:eastAsia="黑体" w:cs="黑体"/>
                <w:sz w:val="24"/>
              </w:rPr>
              <w:t>普通病房</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黑体" w:hAnsi="黑体" w:eastAsia="黑体" w:cs="黑体"/>
              </w:rPr>
            </w:pPr>
            <w:r>
              <w:rPr>
                <w:rFonts w:hint="eastAsia" w:ascii="黑体" w:hAnsi="黑体" w:eastAsia="黑体" w:cs="黑体"/>
                <w:sz w:val="24"/>
              </w:rPr>
              <w:t>监护室</w:t>
            </w:r>
          </w:p>
        </w:tc>
        <w:tc>
          <w:tcPr>
            <w:tcW w:w="181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黑体" w:hAnsi="黑体" w:eastAsia="黑体" w:cs="黑体"/>
              </w:rPr>
            </w:pPr>
            <w:r>
              <w:rPr>
                <w:rFonts w:hint="eastAsia" w:ascii="黑体" w:hAnsi="黑体" w:eastAsia="黑体" w:cs="黑体"/>
                <w:sz w:val="24"/>
              </w:rPr>
              <w:t>层流病房</w:t>
            </w:r>
          </w:p>
        </w:tc>
        <w:tc>
          <w:tcPr>
            <w:tcW w:w="181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400" w:lineRule="auto"/>
              <w:jc w:val="center"/>
              <w:rPr>
                <w:rFonts w:ascii="黑体" w:hAnsi="黑体" w:eastAsia="黑体" w:cs="黑体"/>
              </w:rPr>
            </w:pPr>
            <w:r>
              <w:rPr>
                <w:rFonts w:hint="eastAsia" w:ascii="黑体" w:hAnsi="黑体" w:eastAsia="黑体" w:cs="黑体"/>
                <w:sz w:val="24"/>
              </w:rPr>
              <w:t>急诊留观</w:t>
            </w:r>
          </w:p>
        </w:tc>
      </w:tr>
      <w:tr>
        <w:tblPrEx>
          <w:tblLayout w:type="fixed"/>
          <w:tblCellMar>
            <w:top w:w="0" w:type="dxa"/>
            <w:left w:w="10" w:type="dxa"/>
            <w:bottom w:w="0" w:type="dxa"/>
            <w:right w:w="10" w:type="dxa"/>
          </w:tblCellMar>
        </w:tblPrEx>
        <w:trPr>
          <w:trHeight w:val="454" w:hRule="exac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rPr>
                <w:rFonts w:ascii="宋体" w:hAnsi="宋体" w:cs="宋体"/>
              </w:rPr>
            </w:pPr>
            <w:r>
              <w:rPr>
                <w:rFonts w:ascii="宋体" w:hAnsi="宋体" w:cs="宋体"/>
                <w:sz w:val="24"/>
              </w:rPr>
              <w:t>一级</w:t>
            </w:r>
          </w:p>
        </w:tc>
        <w:tc>
          <w:tcPr>
            <w:tcW w:w="1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29.6</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56</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224</w:t>
            </w:r>
            <w:r>
              <w:rPr>
                <w:rFonts w:ascii="宋体" w:hAnsi="宋体" w:cs="宋体"/>
                <w:sz w:val="24"/>
              </w:rPr>
              <w:t>元</w:t>
            </w:r>
          </w:p>
        </w:tc>
        <w:tc>
          <w:tcPr>
            <w:tcW w:w="1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rPr>
                <w:rFonts w:ascii="宋体" w:hAnsi="宋体" w:cs="宋体"/>
                <w:sz w:val="22"/>
              </w:rPr>
            </w:pPr>
            <w:r>
              <w:rPr>
                <w:rFonts w:hint="eastAsia" w:asciiTheme="minorEastAsia" w:hAnsiTheme="minorEastAsia" w:eastAsiaTheme="minorEastAsia" w:cstheme="minorEastAsia"/>
                <w:sz w:val="24"/>
              </w:rPr>
              <w:t>/</w:t>
            </w:r>
          </w:p>
        </w:tc>
      </w:tr>
      <w:tr>
        <w:tblPrEx>
          <w:tblLayout w:type="fixed"/>
          <w:tblCellMar>
            <w:top w:w="0" w:type="dxa"/>
            <w:left w:w="10" w:type="dxa"/>
            <w:bottom w:w="0" w:type="dxa"/>
            <w:right w:w="10" w:type="dxa"/>
          </w:tblCellMar>
        </w:tblPrEx>
        <w:trPr>
          <w:trHeight w:val="454" w:hRule="exac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rPr>
                <w:rFonts w:ascii="宋体" w:hAnsi="宋体" w:cs="宋体"/>
              </w:rPr>
            </w:pPr>
            <w:r>
              <w:rPr>
                <w:rFonts w:ascii="宋体" w:hAnsi="宋体" w:cs="宋体"/>
                <w:sz w:val="24"/>
              </w:rPr>
              <w:t>二级</w:t>
            </w:r>
          </w:p>
        </w:tc>
        <w:tc>
          <w:tcPr>
            <w:tcW w:w="1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33.3</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63</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252</w:t>
            </w:r>
            <w:r>
              <w:rPr>
                <w:rFonts w:ascii="宋体" w:hAnsi="宋体" w:cs="宋体"/>
                <w:sz w:val="24"/>
              </w:rPr>
              <w:t>元</w:t>
            </w:r>
          </w:p>
        </w:tc>
        <w:tc>
          <w:tcPr>
            <w:tcW w:w="1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9</w:t>
            </w:r>
            <w:r>
              <w:rPr>
                <w:rFonts w:ascii="宋体" w:hAnsi="宋体" w:cs="宋体"/>
                <w:sz w:val="24"/>
              </w:rPr>
              <w:t>元</w:t>
            </w:r>
          </w:p>
        </w:tc>
      </w:tr>
      <w:tr>
        <w:tblPrEx>
          <w:tblLayout w:type="fixed"/>
          <w:tblCellMar>
            <w:top w:w="0" w:type="dxa"/>
            <w:left w:w="10" w:type="dxa"/>
            <w:bottom w:w="0" w:type="dxa"/>
            <w:right w:w="10" w:type="dxa"/>
          </w:tblCellMar>
        </w:tblPrEx>
        <w:trPr>
          <w:trHeight w:val="454" w:hRule="exac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rPr>
                <w:rFonts w:ascii="宋体" w:hAnsi="宋体" w:cs="宋体"/>
              </w:rPr>
            </w:pPr>
            <w:r>
              <w:rPr>
                <w:rFonts w:ascii="宋体" w:hAnsi="宋体" w:cs="宋体"/>
                <w:sz w:val="24"/>
              </w:rPr>
              <w:t>三级</w:t>
            </w:r>
          </w:p>
        </w:tc>
        <w:tc>
          <w:tcPr>
            <w:tcW w:w="15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37</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70</w:t>
            </w:r>
            <w:r>
              <w:rPr>
                <w:rFonts w:ascii="宋体" w:hAnsi="宋体" w:cs="宋体"/>
                <w:sz w:val="24"/>
              </w:rPr>
              <w:t>元</w:t>
            </w:r>
          </w:p>
        </w:tc>
        <w:tc>
          <w:tcPr>
            <w:tcW w:w="18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280</w:t>
            </w:r>
            <w:r>
              <w:rPr>
                <w:rFonts w:ascii="宋体" w:hAnsi="宋体" w:cs="宋体"/>
                <w:sz w:val="24"/>
              </w:rPr>
              <w:t>元</w:t>
            </w:r>
          </w:p>
        </w:tc>
        <w:tc>
          <w:tcPr>
            <w:tcW w:w="18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948"/>
              </w:tabs>
              <w:spacing w:line="400" w:lineRule="auto"/>
              <w:jc w:val="center"/>
            </w:pPr>
            <w:r>
              <w:rPr>
                <w:rFonts w:eastAsia="Times New Roman"/>
                <w:sz w:val="24"/>
              </w:rPr>
              <w:t>10</w:t>
            </w:r>
            <w:r>
              <w:rPr>
                <w:rFonts w:ascii="宋体" w:hAnsi="宋体" w:cs="宋体"/>
                <w:sz w:val="24"/>
              </w:rPr>
              <w:t>元</w:t>
            </w:r>
          </w:p>
        </w:tc>
      </w:tr>
    </w:tbl>
    <w:p>
      <w:pPr>
        <w:spacing w:line="560" w:lineRule="auto"/>
        <w:ind w:firstLine="643"/>
        <w:rPr>
          <w:rFonts w:eastAsia="Times New Roman"/>
          <w:b/>
          <w:sz w:val="32"/>
        </w:rPr>
      </w:pPr>
      <w:r>
        <w:rPr>
          <w:rFonts w:hint="eastAsia" w:ascii="仿宋_GB2312" w:hAnsi="仿宋_GB2312" w:eastAsia="仿宋_GB2312" w:cs="仿宋_GB2312"/>
          <w:b/>
          <w:sz w:val="32"/>
        </w:rPr>
        <w:t>4．住院检验检查费限额</w:t>
      </w:r>
    </w:p>
    <w:tbl>
      <w:tblPr>
        <w:tblStyle w:val="5"/>
        <w:tblW w:w="7366" w:type="dxa"/>
        <w:jc w:val="center"/>
        <w:tblInd w:w="0" w:type="dxa"/>
        <w:tblLayout w:type="fixed"/>
        <w:tblCellMar>
          <w:top w:w="0" w:type="dxa"/>
          <w:left w:w="10" w:type="dxa"/>
          <w:bottom w:w="0" w:type="dxa"/>
          <w:right w:w="10" w:type="dxa"/>
        </w:tblCellMar>
      </w:tblPr>
      <w:tblGrid>
        <w:gridCol w:w="2176"/>
        <w:gridCol w:w="1730"/>
        <w:gridCol w:w="1730"/>
        <w:gridCol w:w="1730"/>
      </w:tblGrid>
      <w:tr>
        <w:tblPrEx>
          <w:tblLayout w:type="fixed"/>
          <w:tblCellMar>
            <w:top w:w="0" w:type="dxa"/>
            <w:left w:w="10" w:type="dxa"/>
            <w:bottom w:w="0" w:type="dxa"/>
            <w:right w:w="10" w:type="dxa"/>
          </w:tblCellMar>
        </w:tblPrEx>
        <w:trPr>
          <w:trHeight w:val="454" w:hRule="exact"/>
          <w:jc w:val="center"/>
        </w:trPr>
        <w:tc>
          <w:tcPr>
            <w:tcW w:w="217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pPr>
            <w:r>
              <w:rPr>
                <w:rFonts w:ascii="黑体" w:hAnsi="黑体" w:eastAsia="黑体" w:cs="黑体"/>
                <w:sz w:val="24"/>
              </w:rPr>
              <w:t>定点医疗机构级别</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ascii="黑体" w:hAnsi="黑体" w:eastAsia="黑体" w:cs="黑体"/>
                <w:sz w:val="24"/>
              </w:rPr>
              <w:t>一级</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ascii="黑体" w:hAnsi="黑体" w:eastAsia="黑体" w:cs="黑体"/>
                <w:sz w:val="24"/>
              </w:rPr>
              <w:t>二级</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ascii="黑体" w:hAnsi="黑体" w:eastAsia="黑体" w:cs="黑体"/>
                <w:sz w:val="24"/>
              </w:rPr>
              <w:t>三级</w:t>
            </w:r>
          </w:p>
        </w:tc>
      </w:tr>
      <w:tr>
        <w:tblPrEx>
          <w:tblLayout w:type="fixed"/>
          <w:tblCellMar>
            <w:top w:w="0" w:type="dxa"/>
            <w:left w:w="10" w:type="dxa"/>
            <w:bottom w:w="0" w:type="dxa"/>
            <w:right w:w="10" w:type="dxa"/>
          </w:tblCellMar>
        </w:tblPrEx>
        <w:trPr>
          <w:trHeight w:val="454" w:hRule="exact"/>
          <w:jc w:val="center"/>
        </w:trPr>
        <w:tc>
          <w:tcPr>
            <w:tcW w:w="2176"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rPr>
                <w:rFonts w:ascii="宋体" w:hAnsi="宋体" w:cs="宋体"/>
              </w:rPr>
            </w:pPr>
            <w:r>
              <w:rPr>
                <w:rFonts w:hint="eastAsia" w:ascii="黑体" w:hAnsi="黑体" w:eastAsia="黑体" w:cs="黑体"/>
                <w:bCs/>
                <w:sz w:val="24"/>
              </w:rPr>
              <w:t>限额标准</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eastAsia="Times New Roman"/>
                <w:sz w:val="24"/>
              </w:rPr>
              <w:t>500</w:t>
            </w:r>
            <w:r>
              <w:rPr>
                <w:rFonts w:ascii="宋体" w:hAnsi="宋体" w:cs="宋体"/>
                <w:sz w:val="24"/>
              </w:rPr>
              <w:t>元</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eastAsia="Times New Roman"/>
                <w:sz w:val="24"/>
              </w:rPr>
              <w:t>1000</w:t>
            </w:r>
            <w:r>
              <w:rPr>
                <w:rFonts w:ascii="宋体" w:hAnsi="宋体" w:cs="宋体"/>
                <w:sz w:val="24"/>
              </w:rPr>
              <w:t>元</w:t>
            </w:r>
          </w:p>
        </w:tc>
        <w:tc>
          <w:tcPr>
            <w:tcW w:w="173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560" w:lineRule="auto"/>
              <w:jc w:val="center"/>
            </w:pPr>
            <w:r>
              <w:rPr>
                <w:rFonts w:eastAsia="Times New Roman"/>
                <w:sz w:val="24"/>
              </w:rPr>
              <w:t>1500</w:t>
            </w:r>
            <w:r>
              <w:rPr>
                <w:rFonts w:ascii="宋体" w:hAnsi="宋体" w:cs="宋体"/>
                <w:sz w:val="24"/>
              </w:rPr>
              <w:t>元</w:t>
            </w:r>
          </w:p>
        </w:tc>
      </w:tr>
    </w:tbl>
    <w:p>
      <w:pPr>
        <w:spacing w:line="500" w:lineRule="exact"/>
        <w:ind w:firstLine="643"/>
        <w:rPr>
          <w:rFonts w:ascii="仿宋_GB2312" w:hAnsi="仿宋_GB2312" w:eastAsia="仿宋_GB2312" w:cs="仿宋_GB2312"/>
          <w:b/>
          <w:sz w:val="32"/>
        </w:rPr>
      </w:pPr>
      <w:r>
        <w:rPr>
          <w:rFonts w:hint="eastAsia" w:ascii="仿宋_GB2312" w:hAnsi="仿宋_GB2312" w:eastAsia="仿宋_GB2312" w:cs="仿宋_GB2312"/>
          <w:b/>
          <w:sz w:val="32"/>
        </w:rPr>
        <w:t>备注：</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因精神病在本市精神病专科医疗机构或指定综合性医疗机构精神病专区住院治疗的，不设检验检查费用最高支付限额。</w:t>
      </w:r>
    </w:p>
    <w:p>
      <w:pPr>
        <w:spacing w:line="500" w:lineRule="exact"/>
        <w:ind w:firstLine="643"/>
        <w:rPr>
          <w:rFonts w:ascii="仿宋_GB2312" w:hAnsi="仿宋_GB2312" w:eastAsia="仿宋_GB2312" w:cs="仿宋_GB2312"/>
          <w:b/>
          <w:sz w:val="32"/>
        </w:rPr>
      </w:pPr>
      <w:r>
        <w:rPr>
          <w:rFonts w:hint="eastAsia" w:ascii="仿宋_GB2312" w:hAnsi="仿宋_GB2312" w:eastAsia="仿宋_GB2312" w:cs="仿宋_GB2312"/>
          <w:b/>
          <w:sz w:val="32"/>
        </w:rPr>
        <w:t>5．注意事项</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1）住院治疗连续时间每超过90天的，须再支付一次起付标准费用。在专科医院连续住院治疗结核病的，每超过180天的，须再支付一次起付标准费用。因精神病在本市精神病专科医疗机构或指定综合性医疗机构精神病专区住院治疗的，无需支付起付标准。</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（2）住院治疗后符合出院标准的，应及时出院。凡应出院而不按规定出院的，自定点医疗机构医嘱出院日期的次日起，所发生费用须由个人支付。</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（3）出院后因病情需要，符合入院标准的可再次入院治疗，与出院时间长短无关。</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（4）符合生育政策规定的生育或终止妊娠发生的住院医疗费用，按照我市企业职工生育保险医疗费支付项目和目录范围执行，但支付标准按上述规定执行。</w:t>
      </w:r>
    </w:p>
    <w:p>
      <w:pPr>
        <w:spacing w:line="5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（八）基本药物待遇标准</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参保人在实施国家基本药物制度的基层社区医疗机构就医，使用基本药物发生的费用，城乡居民医保统筹基金的支付比例在相应规定标准基础上增加10%。</w:t>
      </w:r>
    </w:p>
    <w:p>
      <w:pPr>
        <w:spacing w:line="5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（九）统筹基金年度累计最高支付限额</w:t>
      </w:r>
    </w:p>
    <w:p>
      <w:pPr>
        <w:spacing w:line="500" w:lineRule="exact"/>
        <w:ind w:firstLine="640"/>
        <w:rPr>
          <w:rFonts w:ascii="仿宋_GB2312" w:hAnsi="仿宋_GB2312" w:eastAsia="仿宋_GB2312" w:cs="仿宋_GB2312"/>
          <w:b/>
          <w:sz w:val="32"/>
        </w:rPr>
      </w:pPr>
      <w:r>
        <w:rPr>
          <w:rFonts w:hint="eastAsia" w:ascii="仿宋_GB2312" w:hAnsi="仿宋_GB2312" w:eastAsia="仿宋_GB2312" w:cs="仿宋_GB2312"/>
          <w:sz w:val="32"/>
        </w:rPr>
        <w:t>参保人住院、指定单病种、门诊特定项目、门诊指定慢性病、普通门诊以及符合生育政策规定的生育医疗费用，统筹基金年度累计最高支付限额为缴费基数的6倍。2018城乡居民医保年度统筹基金最高支付限额为217170元；2019城乡居民医保年度统筹基金最高支付限额为236652元。</w:t>
      </w:r>
    </w:p>
    <w:p>
      <w:pPr>
        <w:spacing w:line="500" w:lineRule="exact"/>
        <w:ind w:firstLine="640"/>
        <w:rPr>
          <w:rFonts w:ascii="黑体" w:hAnsi="黑体" w:eastAsia="黑体" w:cs="黑体"/>
          <w:sz w:val="32"/>
        </w:rPr>
      </w:pPr>
      <w:r>
        <w:rPr>
          <w:rFonts w:hint="eastAsia" w:ascii="黑体" w:hAnsi="黑体" w:eastAsia="黑体" w:cs="黑体"/>
          <w:sz w:val="32"/>
        </w:rPr>
        <w:t>四、个人自付费用比例</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参保人使用社会医疗保险属于乙类的药品、诊疗项目及医用材料，个人先自付费用比例如下：</w:t>
      </w:r>
    </w:p>
    <w:tbl>
      <w:tblPr>
        <w:tblStyle w:val="5"/>
        <w:tblW w:w="8522" w:type="dxa"/>
        <w:tblInd w:w="0" w:type="dxa"/>
        <w:tblLayout w:type="fixed"/>
        <w:tblCellMar>
          <w:top w:w="0" w:type="dxa"/>
          <w:left w:w="10" w:type="dxa"/>
          <w:bottom w:w="0" w:type="dxa"/>
          <w:right w:w="10" w:type="dxa"/>
        </w:tblCellMar>
      </w:tblPr>
      <w:tblGrid>
        <w:gridCol w:w="5868"/>
        <w:gridCol w:w="2654"/>
      </w:tblGrid>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ascii="黑体" w:hAnsi="黑体" w:eastAsia="黑体" w:cs="黑体"/>
                <w:sz w:val="24"/>
              </w:rPr>
              <w:t>乙类项目类别</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ascii="黑体" w:hAnsi="黑体" w:eastAsia="黑体" w:cs="黑体"/>
                <w:sz w:val="24"/>
              </w:rPr>
              <w:t>个人先自付比例</w:t>
            </w:r>
          </w:p>
        </w:tc>
      </w:tr>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rPr>
                <w:rFonts w:ascii="宋体" w:hAnsi="宋体" w:cs="宋体"/>
              </w:rPr>
            </w:pPr>
            <w:r>
              <w:rPr>
                <w:rFonts w:ascii="宋体" w:hAnsi="宋体" w:cs="宋体"/>
                <w:sz w:val="24"/>
              </w:rPr>
              <w:t>药品</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eastAsia="Times New Roman"/>
                <w:sz w:val="24"/>
              </w:rPr>
              <w:t>15%</w:t>
            </w:r>
          </w:p>
        </w:tc>
      </w:tr>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rPr>
                <w:rFonts w:ascii="宋体" w:hAnsi="宋体" w:cs="宋体"/>
              </w:rPr>
            </w:pPr>
            <w:r>
              <w:rPr>
                <w:rFonts w:ascii="宋体" w:hAnsi="宋体" w:cs="宋体"/>
                <w:sz w:val="24"/>
              </w:rPr>
              <w:t>治疗项目</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eastAsia="Times New Roman"/>
                <w:sz w:val="24"/>
              </w:rPr>
              <w:t>20%</w:t>
            </w:r>
          </w:p>
        </w:tc>
      </w:tr>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rPr>
                <w:rFonts w:ascii="宋体" w:hAnsi="宋体" w:cs="宋体"/>
              </w:rPr>
            </w:pPr>
            <w:r>
              <w:rPr>
                <w:rFonts w:ascii="宋体" w:hAnsi="宋体" w:cs="宋体"/>
                <w:sz w:val="24"/>
              </w:rPr>
              <w:t>检查项目</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eastAsia="Times New Roman"/>
                <w:sz w:val="24"/>
              </w:rPr>
              <w:t>30</w:t>
            </w:r>
            <w:r>
              <w:rPr>
                <w:rFonts w:ascii="宋体" w:hAnsi="宋体" w:cs="宋体"/>
                <w:sz w:val="24"/>
              </w:rPr>
              <w:t>％</w:t>
            </w:r>
          </w:p>
        </w:tc>
      </w:tr>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rPr>
                <w:rFonts w:ascii="宋体" w:hAnsi="宋体" w:cs="宋体"/>
              </w:rPr>
            </w:pPr>
            <w:r>
              <w:rPr>
                <w:rFonts w:ascii="宋体" w:hAnsi="宋体" w:cs="宋体"/>
                <w:sz w:val="24"/>
              </w:rPr>
              <w:t>可单独收费的一次性医用材料</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pPr>
            <w:r>
              <w:rPr>
                <w:rFonts w:eastAsia="Times New Roman"/>
                <w:sz w:val="24"/>
              </w:rPr>
              <w:t>30</w:t>
            </w:r>
            <w:r>
              <w:rPr>
                <w:rFonts w:ascii="宋体" w:hAnsi="宋体" w:cs="宋体"/>
                <w:sz w:val="24"/>
              </w:rPr>
              <w:t>％</w:t>
            </w:r>
          </w:p>
        </w:tc>
      </w:tr>
      <w:tr>
        <w:tblPrEx>
          <w:tblLayout w:type="fixed"/>
          <w:tblCellMar>
            <w:top w:w="0" w:type="dxa"/>
            <w:left w:w="10" w:type="dxa"/>
            <w:bottom w:w="0" w:type="dxa"/>
            <w:right w:w="10" w:type="dxa"/>
          </w:tblCellMar>
        </w:tblPrEx>
        <w:trPr>
          <w:trHeight w:val="454" w:hRule="exact"/>
        </w:trPr>
        <w:tc>
          <w:tcPr>
            <w:tcW w:w="5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jc w:val="center"/>
              <w:rPr>
                <w:rFonts w:ascii="宋体" w:hAnsi="宋体" w:cs="宋体"/>
              </w:rPr>
            </w:pPr>
            <w:r>
              <w:rPr>
                <w:rFonts w:ascii="宋体" w:hAnsi="宋体" w:cs="宋体"/>
                <w:sz w:val="24"/>
              </w:rPr>
              <w:t>安装各种人造器官和体内置放材料</w:t>
            </w:r>
          </w:p>
        </w:tc>
        <w:tc>
          <w:tcPr>
            <w:tcW w:w="26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560" w:lineRule="auto"/>
              <w:ind w:firstLine="52"/>
              <w:jc w:val="center"/>
            </w:pPr>
            <w:r>
              <w:rPr>
                <w:rFonts w:eastAsia="Times New Roman"/>
                <w:sz w:val="24"/>
              </w:rPr>
              <w:t>50</w:t>
            </w:r>
            <w:r>
              <w:rPr>
                <w:rFonts w:ascii="宋体" w:hAnsi="宋体" w:cs="宋体"/>
                <w:sz w:val="24"/>
              </w:rPr>
              <w:t>％</w:t>
            </w:r>
          </w:p>
        </w:tc>
      </w:tr>
    </w:tbl>
    <w:p>
      <w:pPr>
        <w:spacing w:line="500" w:lineRule="exact"/>
        <w:ind w:firstLine="640" w:firstLineChars="200"/>
        <w:rPr>
          <w:rFonts w:ascii="黑体" w:hAnsi="黑体" w:eastAsia="黑体" w:cs="黑体"/>
          <w:sz w:val="32"/>
        </w:rPr>
      </w:pPr>
      <w:r>
        <w:rPr>
          <w:rFonts w:hint="eastAsia" w:ascii="黑体" w:hAnsi="黑体" w:eastAsia="黑体" w:cs="黑体"/>
          <w:sz w:val="32"/>
        </w:rPr>
        <w:t>五、大病保险待遇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参保人无需另行缴费，还可在享受城乡居民医保待遇基础上享受大病保险待遇：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（一）参保人住院或门特治疗发生的基本医疗费用中，属于城乡居民医保统筹基金最高支付限额以下所对应的个人自付医疗费用，全年累计超过1.8万元以上部分由大病保险资金支付60%。</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（二）参保人住院或进行门特治疗发生的基本医疗费用，全年累计超过城乡居民医保统筹基金最高支付限额以上部分，由大病保险资金支付90%。</w:t>
      </w:r>
    </w:p>
    <w:p>
      <w:pPr>
        <w:spacing w:line="500" w:lineRule="exact"/>
        <w:ind w:firstLine="640"/>
        <w:rPr>
          <w:rFonts w:ascii="仿宋_GB2312" w:hAnsi="仿宋_GB2312" w:eastAsia="仿宋_GB2312" w:cs="仿宋_GB2312"/>
          <w:b/>
          <w:sz w:val="32"/>
        </w:rPr>
      </w:pPr>
      <w:r>
        <w:rPr>
          <w:rFonts w:hint="eastAsia" w:ascii="仿宋_GB2312" w:hAnsi="仿宋_GB2312" w:eastAsia="仿宋_GB2312" w:cs="仿宋_GB2312"/>
          <w:sz w:val="32"/>
        </w:rPr>
        <w:t>（三）大病保险年度最高支付限额为40万元；连续参保2年及以上的参保人，年度最高支付限额为45万元；对属于享受医疗费用减免待遇的社会医疗救助对象的参保人，不设年度最高支付限额。</w:t>
      </w:r>
    </w:p>
    <w:p>
      <w:pPr>
        <w:spacing w:line="500" w:lineRule="exact"/>
        <w:ind w:firstLine="640"/>
        <w:rPr>
          <w:rFonts w:ascii="黑体" w:hAnsi="黑体" w:eastAsia="黑体" w:cs="黑体"/>
          <w:sz w:val="32"/>
        </w:rPr>
      </w:pPr>
      <w:r>
        <w:rPr>
          <w:rFonts w:hint="eastAsia" w:ascii="黑体" w:hAnsi="黑体" w:eastAsia="黑体" w:cs="黑体"/>
          <w:sz w:val="32"/>
        </w:rPr>
        <w:t>六、异地就医</w:t>
      </w:r>
    </w:p>
    <w:p>
      <w:pPr>
        <w:spacing w:line="5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（一）异地就医范围</w:t>
      </w:r>
    </w:p>
    <w:p>
      <w:pPr>
        <w:spacing w:line="500" w:lineRule="exact"/>
        <w:ind w:firstLine="640"/>
        <w:rPr>
          <w:rFonts w:ascii="仿宋_GB2312" w:hAnsi="仿宋_GB2312" w:eastAsia="仿宋_GB2312" w:cs="仿宋_GB2312"/>
          <w:sz w:val="32"/>
        </w:rPr>
      </w:pPr>
      <w:r>
        <w:rPr>
          <w:rFonts w:ascii="仿宋_GB2312" w:hAnsi="仿宋_GB2312" w:eastAsia="仿宋_GB2312" w:cs="仿宋_GB2312"/>
          <w:sz w:val="32"/>
        </w:rPr>
        <w:t>参保人属于以下异地就医情形的，可按规定享受相应的城乡居民社会医疗保险待遇：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1.长期异地就医：参保人在境内（不含香港、澳门、台湾地区，以下简称境内）同一异地居住6个月以上，因病在异地选定的当地医疗保险定点医疗机构（以下简称异地医疗机构）住院、门诊特定项目、门诊指定慢性病就医。</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2.异地急诊：参保人在境内异地医疗机构急诊、抢救发生的符合规定的急诊留观或住院。</w:t>
      </w:r>
    </w:p>
    <w:p>
      <w:pPr>
        <w:spacing w:line="500" w:lineRule="exact"/>
        <w:ind w:firstLine="480"/>
        <w:rPr>
          <w:rFonts w:ascii="仿宋_GB2312" w:hAnsi="仿宋_GB2312" w:eastAsia="仿宋_GB2312" w:cs="仿宋_GB2312"/>
          <w:sz w:val="32"/>
        </w:rPr>
      </w:pPr>
      <w:r>
        <w:rPr>
          <w:rFonts w:hint="eastAsia" w:ascii="仿宋_GB2312" w:hAnsi="仿宋_GB2312" w:eastAsia="仿宋_GB2312" w:cs="仿宋_GB2312"/>
          <w:sz w:val="32"/>
        </w:rPr>
        <w:t xml:space="preserve"> 3.异地转诊：本市参保人经本市医保二级经办机构确认后转异地医疗机构住院治疗的。</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4.政策规定的其它异地就医情形。</w:t>
      </w:r>
    </w:p>
    <w:p>
      <w:pPr>
        <w:spacing w:line="500" w:lineRule="exact"/>
        <w:ind w:firstLine="643"/>
        <w:jc w:val="left"/>
        <w:rPr>
          <w:rFonts w:ascii="楷体_GB2312" w:hAnsi="楷体_GB2312" w:eastAsia="楷体_GB2312" w:cs="楷体_GB2312"/>
          <w:b/>
          <w:sz w:val="32"/>
        </w:rPr>
      </w:pPr>
      <w:r>
        <w:rPr>
          <w:rFonts w:hint="eastAsia" w:ascii="楷体_GB2312" w:hAnsi="楷体_GB2312" w:eastAsia="楷体_GB2312" w:cs="楷体_GB2312"/>
          <w:b/>
          <w:sz w:val="32"/>
        </w:rPr>
        <w:t>（二）异地就医待遇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1.已经办理异地就医确认手续的参保人员，在其备案地的异地联网指定医疗机构就医发生的符合规定的医疗费用，由异地联网指定医疗机构按相关规定给予结算。</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2.已与异地联网指定医疗机构办理记账结算的医疗费用,本市医保二级经办机构不再办理该次就医医疗费的报销。</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3.参保人未经确认的长期异地就医、异地转诊发生住院、门诊特定项目和门诊指定慢性病的基本医疗费用，统筹基金按35%比例支付，相应的起付标准为1000元。</w:t>
      </w:r>
    </w:p>
    <w:p>
      <w:pPr>
        <w:spacing w:line="500" w:lineRule="exact"/>
        <w:ind w:firstLine="640" w:firstLineChars="200"/>
        <w:rPr>
          <w:rFonts w:ascii="宋体" w:hAnsi="宋体" w:cs="宋体"/>
          <w:sz w:val="32"/>
        </w:rPr>
      </w:pPr>
      <w:r>
        <w:rPr>
          <w:rFonts w:hint="eastAsia" w:eastAsia="仿宋_GB2312" w:cs="仿宋_GB2312"/>
          <w:sz w:val="32"/>
          <w:szCs w:val="32"/>
        </w:rPr>
        <w:t>相关异地就医业务办理手续及资料，详见市人社局门户网站、</w:t>
      </w:r>
      <w:r>
        <w:rPr>
          <w:rFonts w:hint="eastAsia" w:eastAsia="仿宋_GB2312" w:cs="仿宋_GB2312"/>
          <w:color w:val="000000"/>
          <w:kern w:val="0"/>
          <w:sz w:val="32"/>
          <w:szCs w:val="32"/>
          <w:lang w:eastAsia="zh-CN"/>
        </w:rPr>
        <w:t>网上办事大厅、</w:t>
      </w:r>
      <w:r>
        <w:rPr>
          <w:rFonts w:hint="eastAsia" w:eastAsia="仿宋_GB2312" w:cs="仿宋_GB2312"/>
          <w:sz w:val="32"/>
          <w:szCs w:val="32"/>
        </w:rPr>
        <w:t>广州医保微信公众号等官方公布内容。</w:t>
      </w:r>
    </w:p>
    <w:p>
      <w:pPr>
        <w:spacing w:line="500" w:lineRule="exact"/>
        <w:ind w:firstLine="640"/>
        <w:rPr>
          <w:rFonts w:ascii="黑体" w:hAnsi="黑体" w:eastAsia="黑体" w:cs="黑体"/>
          <w:sz w:val="32"/>
        </w:rPr>
      </w:pPr>
      <w:r>
        <w:rPr>
          <w:rFonts w:hint="eastAsia" w:ascii="黑体" w:hAnsi="黑体" w:eastAsia="黑体" w:cs="黑体"/>
          <w:sz w:val="32"/>
        </w:rPr>
        <w:t>七、零星医疗费报销</w:t>
      </w:r>
    </w:p>
    <w:p>
      <w:pPr>
        <w:spacing w:line="500" w:lineRule="exact"/>
        <w:ind w:firstLine="643"/>
        <w:rPr>
          <w:b/>
          <w:sz w:val="32"/>
        </w:rPr>
      </w:pPr>
      <w:r>
        <w:rPr>
          <w:rFonts w:hint="eastAsia" w:ascii="仿宋_GB2312" w:hAnsi="仿宋_GB2312" w:eastAsia="仿宋_GB2312" w:cs="仿宋_GB2312"/>
          <w:b/>
          <w:sz w:val="32"/>
        </w:rPr>
        <w:t>零星报销范围：</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（一）符合异地就医范围的基本医疗费用。</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（二）因待遇追溯、系统故障等客观原因导致未能在定点医疗机构记账结算的基本医疗费用。</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（三）参保人确因患病急诊或抢救，以及病情特殊需要，经本市医保经办机构核准，在本统筹区内非我市社会保险定点医疗机构住院或急诊留观发生的基本医疗费用。</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（四）符合医疗保险政策规定的其他特殊情况（详见市人社局门户网站的相关办事指南）。</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经审核结算后，属于城乡居民医保基金支付的费用将直接拨付到参保人医保凭证中个人银行结算账户。参保人在结算医疗费用后超过1年未办理零星医疗费报销手续的，城乡居民医保基金不予支付。</w:t>
      </w:r>
    </w:p>
    <w:p>
      <w:pPr>
        <w:spacing w:line="5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相关零星报销业务办理手续及资料，详见市人社局门户网站、</w:t>
      </w:r>
      <w:r>
        <w:rPr>
          <w:rFonts w:hint="eastAsia" w:eastAsia="仿宋_GB2312" w:cs="仿宋_GB2312"/>
          <w:color w:val="000000"/>
          <w:kern w:val="0"/>
          <w:sz w:val="32"/>
          <w:szCs w:val="32"/>
          <w:lang w:eastAsia="zh-CN"/>
        </w:rPr>
        <w:t>网上办事大厅、</w:t>
      </w:r>
      <w:bookmarkStart w:id="0" w:name="_GoBack"/>
      <w:bookmarkEnd w:id="0"/>
      <w:r>
        <w:rPr>
          <w:rFonts w:hint="eastAsia" w:ascii="仿宋_GB2312" w:hAnsi="仿宋_GB2312" w:eastAsia="仿宋_GB2312" w:cs="仿宋_GB2312"/>
          <w:sz w:val="32"/>
          <w:szCs w:val="32"/>
        </w:rPr>
        <w:t>广州医保微信公众号等官方公布内容。</w:t>
      </w:r>
    </w:p>
    <w:p>
      <w:pPr>
        <w:spacing w:line="500" w:lineRule="exact"/>
        <w:ind w:firstLine="640"/>
        <w:rPr>
          <w:rFonts w:ascii="黑体" w:hAnsi="黑体" w:eastAsia="黑体" w:cs="黑体"/>
          <w:sz w:val="32"/>
        </w:rPr>
      </w:pPr>
      <w:r>
        <w:rPr>
          <w:rFonts w:hint="eastAsia" w:ascii="黑体" w:hAnsi="黑体" w:eastAsia="黑体" w:cs="黑体"/>
          <w:sz w:val="32"/>
        </w:rPr>
        <w:t>八、就医管理</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（一）参保人不得要求定点医疗机构降低入院标准入院或已达到出院标准后故意延长住院时间。</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（二）参保人在患病住院治疗期间，不得同时享受普通门诊统筹待遇；参保人享受门诊特定项目、门诊指定慢性病统筹待遇的部分，统筹基金不再重复支付普通门诊统筹待遇。</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（三）参保人不得伪造医疗机构的发票、费用明细清单、诊断证明等资料办理零星报销手续。</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（四）参保人个人以欺诈、伪造证明材料或者其他手段骗取社会保险待遇的，由社会保险行政部门责令退回骗取的社会保险金，处以违法行为涉及金额二倍以上五倍以下的罚款；构成犯罪的，依法追究刑事责任。</w:t>
      </w:r>
    </w:p>
    <w:p>
      <w:pPr>
        <w:spacing w:line="50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（五）参保人不得冒用、伪造医保凭证在社会保险定点医疗机构就医。</w:t>
      </w:r>
      <w:r>
        <w:rPr>
          <w:rFonts w:hint="eastAsia" w:ascii="仿宋_GB2312" w:hAnsi="仿宋_GB2312" w:eastAsia="仿宋_GB2312" w:cs="仿宋_GB2312"/>
          <w:sz w:val="32"/>
        </w:rPr>
        <w:br w:type="textWrapping"/>
      </w:r>
      <w:r>
        <w:rPr>
          <w:rFonts w:hint="eastAsia" w:ascii="仿宋_GB2312" w:hAnsi="仿宋_GB2312" w:eastAsia="仿宋_GB2312" w:cs="仿宋_GB2312"/>
          <w:sz w:val="32"/>
        </w:rPr>
        <w:t xml:space="preserve">    （六）参保人不得将医疗保险基金支付的药品、诊疗项目、医用材料等违规转卖。</w:t>
      </w:r>
    </w:p>
    <w:p>
      <w:pPr>
        <w:spacing w:line="500" w:lineRule="exact"/>
        <w:ind w:firstLine="640"/>
        <w:rPr>
          <w:rFonts w:ascii="黑体" w:hAnsi="黑体" w:eastAsia="黑体" w:cs="黑体"/>
          <w:sz w:val="32"/>
        </w:rPr>
      </w:pPr>
      <w:r>
        <w:rPr>
          <w:rFonts w:hint="eastAsia" w:ascii="黑体" w:hAnsi="黑体" w:eastAsia="黑体" w:cs="黑体"/>
          <w:sz w:val="32"/>
        </w:rPr>
        <w:t>九、温馨提示</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（一）本指南所称的基本医疗费用，是指属于基本医疗保险用药范围、诊疗项目范围、医疗服务设施范围和支付标准的医疗费用，但不含个人按照规定比例先自付的费用以及超限额标准的费用。</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二）在定点医疗机构就医过程中的门诊选点、门慢及门特待遇确认、转诊转院等事项一般均可由定点医疗机构通过系统直接办理，参保人无需亲临医保经办机构。在就医过程中遇到问题，可直接到定点医疗机构医保办或医务部门咨询、反映。</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（三）本指南未尽之处，可通过以下方式查询：</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1．网站</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广州市人力资源和社会保障局网站：</w:t>
      </w:r>
      <w:r>
        <w:fldChar w:fldCharType="begin"/>
      </w:r>
      <w:r>
        <w:instrText xml:space="preserve"> HYPERLINK "http://www.hrssgz.gov.cn/" \h </w:instrText>
      </w:r>
      <w:r>
        <w:fldChar w:fldCharType="separate"/>
      </w:r>
      <w:r>
        <w:rPr>
          <w:rFonts w:hint="eastAsia" w:ascii="仿宋_GB2312" w:hAnsi="仿宋_GB2312" w:eastAsia="仿宋_GB2312" w:cs="仿宋_GB2312"/>
          <w:sz w:val="32"/>
        </w:rPr>
        <w:t>www.hrssgz.gov.cn</w:t>
      </w:r>
      <w:r>
        <w:rPr>
          <w:rFonts w:hint="eastAsia" w:ascii="仿宋_GB2312" w:hAnsi="仿宋_GB2312" w:eastAsia="仿宋_GB2312" w:cs="仿宋_GB2312"/>
          <w:sz w:val="32"/>
        </w:rPr>
        <w:fldChar w:fldCharType="end"/>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广州市人力资源和社会保障局政民互动栏目：</w:t>
      </w:r>
    </w:p>
    <w:p>
      <w:pPr>
        <w:spacing w:line="500" w:lineRule="exact"/>
        <w:ind w:firstLine="640"/>
        <w:rPr>
          <w:rFonts w:ascii="仿宋_GB2312" w:hAnsi="仿宋_GB2312" w:eastAsia="仿宋_GB2312" w:cs="仿宋_GB2312"/>
          <w:sz w:val="32"/>
        </w:rPr>
      </w:pPr>
      <w:r>
        <w:fldChar w:fldCharType="begin"/>
      </w:r>
      <w:r>
        <w:instrText xml:space="preserve"> HYPERLINK "http://www.hrssgz.gov.cn/cjwt/index.html" \h </w:instrText>
      </w:r>
      <w:r>
        <w:fldChar w:fldCharType="separate"/>
      </w:r>
      <w:r>
        <w:rPr>
          <w:rFonts w:hint="eastAsia" w:ascii="仿宋_GB2312" w:hAnsi="仿宋_GB2312" w:eastAsia="仿宋_GB2312" w:cs="仿宋_GB2312"/>
          <w:sz w:val="32"/>
        </w:rPr>
        <w:t>http://www.hrssgz.gov.cn/cjwt/index.html</w:t>
      </w:r>
      <w:r>
        <w:rPr>
          <w:rFonts w:hint="eastAsia" w:ascii="仿宋_GB2312" w:hAnsi="仿宋_GB2312" w:eastAsia="仿宋_GB2312" w:cs="仿宋_GB2312"/>
          <w:sz w:val="32"/>
        </w:rPr>
        <w:fldChar w:fldCharType="end"/>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2．电话</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广州12345政府服务热线：（020）12345</w:t>
      </w:r>
    </w:p>
    <w:p>
      <w:pPr>
        <w:spacing w:line="500" w:lineRule="exact"/>
        <w:ind w:firstLine="640"/>
        <w:rPr>
          <w:rFonts w:ascii="仿宋_GB2312" w:hAnsi="仿宋_GB2312" w:eastAsia="仿宋_GB2312" w:cs="仿宋_GB2312"/>
          <w:sz w:val="32"/>
        </w:rPr>
      </w:pPr>
      <w:r>
        <w:rPr>
          <w:rFonts w:hint="eastAsia" w:ascii="仿宋_GB2312" w:hAnsi="仿宋_GB2312" w:eastAsia="仿宋_GB2312" w:cs="仿宋_GB2312"/>
          <w:sz w:val="32"/>
        </w:rPr>
        <w:t>3．亲临我市各医保二级经办机构</w:t>
      </w:r>
    </w:p>
    <w:tbl>
      <w:tblPr>
        <w:tblStyle w:val="5"/>
        <w:tblW w:w="8624" w:type="dxa"/>
        <w:jc w:val="center"/>
        <w:tblInd w:w="0" w:type="dxa"/>
        <w:tblLayout w:type="fixed"/>
        <w:tblCellMar>
          <w:top w:w="0" w:type="dxa"/>
          <w:left w:w="10" w:type="dxa"/>
          <w:bottom w:w="0" w:type="dxa"/>
          <w:right w:w="10" w:type="dxa"/>
        </w:tblCellMar>
      </w:tblPr>
      <w:tblGrid>
        <w:gridCol w:w="2684"/>
        <w:gridCol w:w="5940"/>
      </w:tblGrid>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vAlign w:val="center"/>
          </w:tcPr>
          <w:p>
            <w:pPr>
              <w:spacing w:line="300" w:lineRule="auto"/>
              <w:jc w:val="center"/>
              <w:rPr>
                <w:sz w:val="22"/>
              </w:rPr>
            </w:pPr>
            <w:r>
              <w:rPr>
                <w:rFonts w:ascii="黑体" w:hAnsi="黑体" w:eastAsia="黑体" w:cs="黑体"/>
                <w:sz w:val="22"/>
              </w:rPr>
              <w:t>医保经办机构</w:t>
            </w:r>
          </w:p>
        </w:tc>
        <w:tc>
          <w:tcPr>
            <w:tcW w:w="5940"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vAlign w:val="center"/>
          </w:tcPr>
          <w:p>
            <w:pPr>
              <w:spacing w:line="300" w:lineRule="auto"/>
              <w:jc w:val="center"/>
              <w:rPr>
                <w:sz w:val="22"/>
              </w:rPr>
            </w:pPr>
            <w:r>
              <w:rPr>
                <w:rFonts w:ascii="黑体" w:hAnsi="黑体" w:eastAsia="黑体" w:cs="黑体"/>
                <w:sz w:val="22"/>
              </w:rPr>
              <w:t>服务地址</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市医保局越秀分局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越秀区梅东路</w:t>
            </w:r>
            <w:r>
              <w:rPr>
                <w:rFonts w:eastAsia="Times New Roman"/>
                <w:sz w:val="22"/>
              </w:rPr>
              <w:t>28</w:t>
            </w:r>
            <w:r>
              <w:rPr>
                <w:rFonts w:ascii="宋体" w:hAnsi="宋体" w:cs="宋体"/>
                <w:sz w:val="22"/>
              </w:rPr>
              <w:t>号</w:t>
            </w:r>
            <w:r>
              <w:rPr>
                <w:rFonts w:eastAsia="Times New Roman"/>
                <w:sz w:val="22"/>
              </w:rPr>
              <w:t>4-5</w:t>
            </w:r>
            <w:r>
              <w:rPr>
                <w:rFonts w:ascii="宋体" w:hAnsi="宋体" w:cs="宋体"/>
                <w:sz w:val="22"/>
              </w:rPr>
              <w:t>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市医保局海珠分局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海珠区昌岗中路</w:t>
            </w:r>
            <w:r>
              <w:rPr>
                <w:rFonts w:eastAsia="Times New Roman"/>
                <w:sz w:val="22"/>
              </w:rPr>
              <w:t>74</w:t>
            </w:r>
            <w:r>
              <w:rPr>
                <w:rFonts w:ascii="宋体" w:hAnsi="宋体" w:cs="宋体"/>
                <w:sz w:val="22"/>
              </w:rPr>
              <w:t>号二楼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市医保局荔湾分局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荔湾区花地大道中</w:t>
            </w:r>
            <w:r>
              <w:rPr>
                <w:rFonts w:eastAsia="Times New Roman"/>
                <w:sz w:val="22"/>
              </w:rPr>
              <w:t>89</w:t>
            </w:r>
            <w:r>
              <w:rPr>
                <w:rFonts w:ascii="宋体" w:hAnsi="宋体" w:cs="宋体"/>
                <w:sz w:val="22"/>
              </w:rPr>
              <w:t>号芳村金融大厦二楼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市医保局天河分局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天河区龙口东路</w:t>
            </w:r>
            <w:r>
              <w:rPr>
                <w:rFonts w:eastAsia="Times New Roman"/>
                <w:sz w:val="22"/>
              </w:rPr>
              <w:t>358</w:t>
            </w:r>
            <w:r>
              <w:rPr>
                <w:rFonts w:ascii="宋体" w:hAnsi="宋体" w:cs="宋体"/>
                <w:sz w:val="22"/>
              </w:rPr>
              <w:t>号天诚广场二楼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市医保局白云分局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白云区新达路</w:t>
            </w:r>
            <w:r>
              <w:rPr>
                <w:rFonts w:eastAsia="Times New Roman"/>
                <w:sz w:val="22"/>
              </w:rPr>
              <w:t>55</w:t>
            </w:r>
            <w:r>
              <w:rPr>
                <w:rFonts w:ascii="宋体" w:hAnsi="宋体" w:cs="宋体"/>
                <w:sz w:val="22"/>
              </w:rPr>
              <w:t>号首层</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市医保局黄埔分局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黄埔区大沙东路</w:t>
            </w:r>
            <w:r>
              <w:rPr>
                <w:rFonts w:eastAsia="Times New Roman"/>
                <w:sz w:val="22"/>
              </w:rPr>
              <w:t>311</w:t>
            </w:r>
            <w:r>
              <w:rPr>
                <w:rFonts w:ascii="宋体" w:hAnsi="宋体" w:cs="宋体"/>
                <w:sz w:val="22"/>
              </w:rPr>
              <w:t>号</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市医保局南沙分局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南沙区凤凰大道</w:t>
            </w:r>
            <w:r>
              <w:rPr>
                <w:rFonts w:eastAsia="Times New Roman"/>
                <w:sz w:val="22"/>
              </w:rPr>
              <w:t>1</w:t>
            </w:r>
            <w:r>
              <w:rPr>
                <w:rFonts w:ascii="宋体" w:hAnsi="宋体" w:cs="宋体"/>
                <w:sz w:val="22"/>
              </w:rPr>
              <w:t>号广州南沙政务服务中心三楼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市医保局萝岗分局</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黄埔区香雪二路</w:t>
            </w:r>
            <w:r>
              <w:rPr>
                <w:rFonts w:eastAsia="Times New Roman"/>
                <w:sz w:val="22"/>
              </w:rPr>
              <w:t>2</w:t>
            </w:r>
            <w:r>
              <w:rPr>
                <w:rFonts w:ascii="宋体" w:hAnsi="宋体" w:cs="宋体"/>
                <w:sz w:val="22"/>
              </w:rPr>
              <w:t>号保利香雪商务大厦三楼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花都区医保办</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rFonts w:ascii="宋体" w:hAnsi="宋体" w:cs="宋体"/>
                <w:sz w:val="22"/>
              </w:rPr>
            </w:pPr>
            <w:r>
              <w:rPr>
                <w:rFonts w:ascii="宋体" w:hAnsi="宋体" w:cs="宋体"/>
                <w:sz w:val="22"/>
              </w:rPr>
              <w:t>花都区新华街公益大道兰花路人力资源和社会保障局大院内</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番禺区医保办</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番禺区市桥街平康路</w:t>
            </w:r>
            <w:r>
              <w:rPr>
                <w:rFonts w:eastAsia="Times New Roman"/>
                <w:sz w:val="22"/>
              </w:rPr>
              <w:t>48</w:t>
            </w:r>
            <w:r>
              <w:rPr>
                <w:rFonts w:ascii="宋体" w:hAnsi="宋体" w:cs="宋体"/>
                <w:sz w:val="22"/>
              </w:rPr>
              <w:t>号</w:t>
            </w:r>
            <w:r>
              <w:rPr>
                <w:rFonts w:eastAsia="Times New Roman"/>
                <w:sz w:val="22"/>
              </w:rPr>
              <w:t>3</w:t>
            </w:r>
            <w:r>
              <w:rPr>
                <w:rFonts w:ascii="宋体" w:hAnsi="宋体" w:cs="宋体"/>
                <w:sz w:val="22"/>
              </w:rPr>
              <w:t>号楼</w:t>
            </w:r>
            <w:r>
              <w:rPr>
                <w:rFonts w:eastAsia="Times New Roman"/>
                <w:sz w:val="22"/>
              </w:rPr>
              <w:t>5</w:t>
            </w:r>
            <w:r>
              <w:rPr>
                <w:rFonts w:ascii="宋体" w:hAnsi="宋体" w:cs="宋体"/>
                <w:sz w:val="22"/>
              </w:rPr>
              <w:t>楼</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从化区城乡居民医保中心</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从化区新城东路</w:t>
            </w:r>
            <w:r>
              <w:rPr>
                <w:rFonts w:eastAsia="Times New Roman"/>
                <w:sz w:val="22"/>
              </w:rPr>
              <w:t>54</w:t>
            </w:r>
            <w:r>
              <w:rPr>
                <w:rFonts w:ascii="宋体" w:hAnsi="宋体" w:cs="宋体"/>
                <w:sz w:val="22"/>
              </w:rPr>
              <w:t>号</w:t>
            </w:r>
          </w:p>
        </w:tc>
      </w:tr>
      <w:tr>
        <w:tblPrEx>
          <w:tblLayout w:type="fixed"/>
          <w:tblCellMar>
            <w:top w:w="0" w:type="dxa"/>
            <w:left w:w="10" w:type="dxa"/>
            <w:bottom w:w="0" w:type="dxa"/>
            <w:right w:w="10" w:type="dxa"/>
          </w:tblCellMar>
        </w:tblPrEx>
        <w:trPr>
          <w:jc w:val="center"/>
        </w:trPr>
        <w:tc>
          <w:tcPr>
            <w:tcW w:w="26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宋体" w:hAnsi="宋体" w:cs="宋体"/>
                <w:sz w:val="22"/>
              </w:rPr>
            </w:pPr>
            <w:r>
              <w:rPr>
                <w:rFonts w:ascii="宋体" w:hAnsi="宋体" w:cs="宋体"/>
                <w:sz w:val="22"/>
              </w:rPr>
              <w:t>增城区社保中心</w:t>
            </w:r>
          </w:p>
        </w:tc>
        <w:tc>
          <w:tcPr>
            <w:tcW w:w="59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left"/>
              <w:rPr>
                <w:sz w:val="22"/>
              </w:rPr>
            </w:pPr>
            <w:r>
              <w:rPr>
                <w:rFonts w:ascii="宋体" w:hAnsi="宋体" w:cs="宋体"/>
                <w:sz w:val="22"/>
              </w:rPr>
              <w:t>增城区荔城街荔兴路</w:t>
            </w:r>
            <w:r>
              <w:rPr>
                <w:rFonts w:eastAsia="Times New Roman"/>
                <w:sz w:val="22"/>
              </w:rPr>
              <w:t>18</w:t>
            </w:r>
            <w:r>
              <w:rPr>
                <w:rFonts w:ascii="宋体" w:hAnsi="宋体" w:cs="宋体"/>
                <w:sz w:val="22"/>
              </w:rPr>
              <w:t>号广发银行</w:t>
            </w:r>
            <w:r>
              <w:rPr>
                <w:rFonts w:eastAsia="Times New Roman"/>
                <w:sz w:val="22"/>
              </w:rPr>
              <w:t>5-6</w:t>
            </w:r>
            <w:r>
              <w:rPr>
                <w:rFonts w:ascii="宋体" w:hAnsi="宋体" w:cs="宋体"/>
                <w:sz w:val="22"/>
              </w:rPr>
              <w:t>楼</w:t>
            </w:r>
          </w:p>
        </w:tc>
      </w:tr>
    </w:tbl>
    <w:p>
      <w:pPr>
        <w:spacing w:line="400" w:lineRule="exact"/>
        <w:ind w:firstLine="480"/>
        <w:rPr>
          <w:rFonts w:ascii="仿宋_GB2312" w:hAnsi="仿宋_GB2312" w:eastAsia="仿宋_GB2312" w:cs="仿宋_GB2312"/>
          <w:sz w:val="24"/>
        </w:rPr>
      </w:pPr>
      <w:r>
        <w:rPr>
          <w:rFonts w:hint="eastAsia" w:ascii="仿宋_GB2312" w:hAnsi="仿宋_GB2312" w:eastAsia="仿宋_GB2312" w:cs="仿宋_GB2312"/>
          <w:sz w:val="24"/>
        </w:rPr>
        <w:t>对外服务时间：</w:t>
      </w:r>
    </w:p>
    <w:p>
      <w:pPr>
        <w:spacing w:line="400" w:lineRule="exact"/>
        <w:ind w:firstLine="480"/>
        <w:rPr>
          <w:rFonts w:ascii="仿宋_GB2312" w:hAnsi="仿宋_GB2312" w:eastAsia="仿宋_GB2312" w:cs="仿宋_GB2312"/>
          <w:sz w:val="24"/>
        </w:rPr>
      </w:pPr>
      <w:r>
        <w:rPr>
          <w:rFonts w:hint="eastAsia" w:ascii="仿宋_GB2312" w:hAnsi="仿宋_GB2312" w:eastAsia="仿宋_GB2312" w:cs="仿宋_GB2312"/>
          <w:sz w:val="24"/>
        </w:rPr>
        <w:t>1.市医保局各分局：星期一～星期五：上午9：00～12：00、下午14：00～17：00，法定节假日除外。（其中，南沙分局为星期一～星期五：上午9：00～12：00、下午13：00～17：00，星期五下午15：00～17：00内部学习时间，不对外办公）</w:t>
      </w:r>
    </w:p>
    <w:p>
      <w:pPr>
        <w:spacing w:line="400" w:lineRule="exact"/>
        <w:rPr>
          <w:rFonts w:ascii="仿宋_GB2312" w:hAnsi="仿宋_GB2312" w:eastAsia="仿宋_GB2312" w:cs="仿宋_GB2312"/>
          <w:b/>
          <w:sz w:val="32"/>
        </w:rPr>
      </w:pPr>
      <w:r>
        <w:rPr>
          <w:rFonts w:hint="eastAsia" w:ascii="仿宋_GB2312" w:hAnsi="仿宋_GB2312" w:eastAsia="仿宋_GB2312" w:cs="仿宋_GB2312"/>
          <w:sz w:val="24"/>
        </w:rPr>
        <w:t xml:space="preserve">     2.花都区、番禺区、从化区、增城区医保经办机构为星期一～星期五上午8：30～12：00、下午14：30～17：30。</w:t>
      </w:r>
    </w:p>
    <w:p>
      <w:pPr>
        <w:spacing w:line="520" w:lineRule="exact"/>
        <w:ind w:firstLine="643"/>
        <w:rPr>
          <w:rFonts w:ascii="宋体" w:hAnsi="宋体" w:cs="宋体"/>
          <w:b/>
          <w:sz w:val="32"/>
        </w:rPr>
      </w:pPr>
      <w:r>
        <w:rPr>
          <w:rFonts w:hint="eastAsia" w:ascii="仿宋_GB2312" w:hAnsi="仿宋_GB2312" w:eastAsia="仿宋_GB2312" w:cs="仿宋_GB2312"/>
          <w:b/>
          <w:sz w:val="32"/>
        </w:rPr>
        <w:t>温馨提示：本资料内容如果与政策文件有出入或政策发生调整，请以最新公布的政策为准。</w:t>
      </w:r>
    </w:p>
    <w:p>
      <w:pPr>
        <w:spacing w:line="500" w:lineRule="exact"/>
        <w:rPr>
          <w:rFonts w:hint="eastAsia"/>
        </w:rPr>
      </w:pPr>
    </w:p>
    <w:p>
      <w:pPr>
        <w:spacing w:line="500" w:lineRule="exact"/>
      </w:pPr>
      <w:r>
        <w:rPr>
          <w:b/>
        </w:rPr>
        <w:drawing>
          <wp:anchor distT="0" distB="0" distL="0" distR="0" simplePos="0" relativeHeight="251725824" behindDoc="0" locked="0" layoutInCell="1" allowOverlap="1">
            <wp:simplePos x="0" y="0"/>
            <wp:positionH relativeFrom="column">
              <wp:posOffset>2867660</wp:posOffset>
            </wp:positionH>
            <wp:positionV relativeFrom="page">
              <wp:posOffset>4004310</wp:posOffset>
            </wp:positionV>
            <wp:extent cx="1134110" cy="1115695"/>
            <wp:effectExtent l="0" t="0" r="8890"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34110" cy="1115695"/>
                    </a:xfrm>
                    <a:prstGeom prst="rect">
                      <a:avLst/>
                    </a:prstGeom>
                    <a:noFill/>
                  </pic:spPr>
                </pic:pic>
              </a:graphicData>
            </a:graphic>
          </wp:anchor>
        </w:drawing>
      </w:r>
      <w:r>
        <w:rPr>
          <w:b/>
        </w:rPr>
        <w:drawing>
          <wp:anchor distT="0" distB="0" distL="0" distR="0" simplePos="0" relativeHeight="251703296" behindDoc="0" locked="0" layoutInCell="1" allowOverlap="1">
            <wp:simplePos x="0" y="0"/>
            <wp:positionH relativeFrom="column">
              <wp:posOffset>1007110</wp:posOffset>
            </wp:positionH>
            <wp:positionV relativeFrom="page">
              <wp:posOffset>4048125</wp:posOffset>
            </wp:positionV>
            <wp:extent cx="1133475" cy="1066165"/>
            <wp:effectExtent l="0" t="0" r="9525" b="63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33475" cy="1066165"/>
                    </a:xfrm>
                    <a:prstGeom prst="rect">
                      <a:avLst/>
                    </a:prstGeom>
                    <a:noFill/>
                  </pic:spPr>
                </pic:pic>
              </a:graphicData>
            </a:graphic>
          </wp:anchor>
        </w:drawing>
      </w:r>
    </w:p>
    <w:p>
      <w:pPr>
        <w:spacing w:line="500" w:lineRule="exact"/>
        <w:rPr>
          <w:rFonts w:cs="宋体"/>
        </w:rPr>
      </w:pPr>
      <w:r>
        <w:rPr>
          <w:rFonts w:hint="eastAsia"/>
          <w:b/>
        </w:rPr>
        <w:t xml:space="preserve">                            </w:t>
      </w:r>
      <w:r>
        <w:rPr>
          <w:rFonts w:hint="eastAsia"/>
        </w:rPr>
        <w:t>广州人社微信公众号                     广州医保微信公众号</w:t>
      </w:r>
    </w:p>
    <w:p>
      <w:pPr>
        <w:rPr>
          <w:rFonts w:eastAsia="Times New Roman"/>
        </w:rPr>
      </w:pPr>
    </w:p>
    <w:sectPr>
      <w:footerReference r:id="rId3" w:type="default"/>
      <w:pgSz w:w="11906" w:h="16838"/>
      <w:pgMar w:top="1701" w:right="1361" w:bottom="1701" w:left="1474" w:header="720" w:footer="720" w:gutter="0"/>
      <w:cols w:equalWidth="0" w:num="1">
        <w:col w:w="830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AB"/>
    <w:rsid w:val="000D5018"/>
    <w:rsid w:val="000E3259"/>
    <w:rsid w:val="00315AAB"/>
    <w:rsid w:val="00517425"/>
    <w:rsid w:val="00600FFB"/>
    <w:rsid w:val="00A17415"/>
    <w:rsid w:val="00C96419"/>
    <w:rsid w:val="00D56B2A"/>
    <w:rsid w:val="01C87D33"/>
    <w:rsid w:val="03D87256"/>
    <w:rsid w:val="08A92B6E"/>
    <w:rsid w:val="1AD622F4"/>
    <w:rsid w:val="1DC833AE"/>
    <w:rsid w:val="1F5F4A8C"/>
    <w:rsid w:val="221F0318"/>
    <w:rsid w:val="3791509B"/>
    <w:rsid w:val="39323532"/>
    <w:rsid w:val="46BA78AE"/>
    <w:rsid w:val="47F718FA"/>
    <w:rsid w:val="48496F6B"/>
    <w:rsid w:val="4B2F18C9"/>
    <w:rsid w:val="514A2974"/>
    <w:rsid w:val="57784F3F"/>
    <w:rsid w:val="650A2F52"/>
    <w:rsid w:val="657E137B"/>
    <w:rsid w:val="6A0C68D6"/>
    <w:rsid w:val="6D5B3E60"/>
    <w:rsid w:val="73980224"/>
    <w:rsid w:val="75FD6762"/>
    <w:rsid w:val="773968BA"/>
    <w:rsid w:val="7A890F8B"/>
    <w:rsid w:val="7EE5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7370</Words>
  <Characters>1076</Characters>
  <Lines>8</Lines>
  <Paragraphs>16</Paragraphs>
  <TotalTime>0</TotalTime>
  <ScaleCrop>false</ScaleCrop>
  <LinksUpToDate>false</LinksUpToDate>
  <CharactersWithSpaces>8430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2018-08-16T03:36:00Z</dcterms:created>
  <dc:creator>liwsh</dc:creator>
  <cp:lastModifiedBy>文盛</cp:lastModifiedBy>
  <cp:lastPrinted>2018-08-16T03:39:00Z</cp:lastPrinted>
  <dcterms:modified xsi:type="dcterms:W3CDTF">2018-08-21T10:24:53Z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